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2B50F" w14:textId="77777777" w:rsidR="0086551A" w:rsidRDefault="008F40A5" w:rsidP="0086551A">
      <w:pPr>
        <w:autoSpaceDE w:val="0"/>
        <w:autoSpaceDN w:val="0"/>
        <w:adjustRightInd w:val="0"/>
        <w:spacing w:afterLines="50" w:after="156" w:line="480" w:lineRule="exact"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</w:t>
      </w:r>
      <w:proofErr w:type="gramStart"/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色股份</w:t>
      </w:r>
      <w:proofErr w:type="gramEnd"/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202</w:t>
      </w:r>
      <w:r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6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0</w:t>
      </w:r>
      <w:r w:rsidR="0086551A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9</w:t>
      </w:r>
    </w:p>
    <w:p w14:paraId="49B82789" w14:textId="42A8CCA7" w:rsidR="00C7616D" w:rsidRDefault="008F40A5" w:rsidP="0086551A">
      <w:pPr>
        <w:autoSpaceDE w:val="0"/>
        <w:autoSpaceDN w:val="0"/>
        <w:adjustRightInd w:val="0"/>
        <w:spacing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eastAsiaTheme="minorEastAsia" w:hAnsi="Arial" w:cs="Arial"/>
          <w:b/>
          <w:sz w:val="30"/>
          <w:szCs w:val="30"/>
        </w:rPr>
        <w:t>南京宝色股份公司</w:t>
      </w:r>
    </w:p>
    <w:p w14:paraId="197E6C0C" w14:textId="67AE7267" w:rsidR="00C7616D" w:rsidRDefault="008F40A5" w:rsidP="0086551A">
      <w:pPr>
        <w:pStyle w:val="Default"/>
        <w:spacing w:afterLines="75" w:after="234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eastAsiaTheme="minorEastAsia" w:hAnsi="Arial" w:cs="Arial"/>
          <w:b/>
          <w:sz w:val="30"/>
          <w:szCs w:val="30"/>
        </w:rPr>
        <w:t>关于</w:t>
      </w:r>
      <w:r>
        <w:rPr>
          <w:rFonts w:ascii="Arial" w:eastAsiaTheme="minorEastAsia" w:hAnsi="Arial" w:cs="Arial"/>
          <w:b/>
          <w:sz w:val="30"/>
          <w:szCs w:val="30"/>
        </w:rPr>
        <w:t>202</w:t>
      </w:r>
      <w:r w:rsidR="00E8070E">
        <w:rPr>
          <w:rFonts w:ascii="Arial" w:eastAsiaTheme="minorEastAsia" w:hAnsi="Arial" w:cs="Arial"/>
          <w:b/>
          <w:sz w:val="30"/>
          <w:szCs w:val="30"/>
        </w:rPr>
        <w:t>5</w:t>
      </w:r>
      <w:r>
        <w:rPr>
          <w:rFonts w:ascii="Arial" w:eastAsiaTheme="minorEastAsia" w:hAnsi="Arial" w:cs="Arial"/>
          <w:b/>
          <w:sz w:val="30"/>
          <w:szCs w:val="30"/>
        </w:rPr>
        <w:t>年度利润分配预案的公告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5"/>
      </w:tblGrid>
      <w:tr w:rsidR="00C7616D" w14:paraId="5BB8E538" w14:textId="77777777" w:rsidTr="0086551A">
        <w:trPr>
          <w:trHeight w:val="1082"/>
          <w:jc w:val="center"/>
        </w:trPr>
        <w:tc>
          <w:tcPr>
            <w:tcW w:w="8685" w:type="dxa"/>
          </w:tcPr>
          <w:p w14:paraId="1740748D" w14:textId="77777777" w:rsidR="00C7616D" w:rsidRDefault="008F40A5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本公司及董事会全体成员保证信息披露的内容真实、准确和完整，没有虚假记载、误导性陈述或重大遗漏。</w:t>
            </w:r>
          </w:p>
        </w:tc>
      </w:tr>
    </w:tbl>
    <w:p w14:paraId="04D2CDE4" w14:textId="77777777" w:rsidR="004763A2" w:rsidRPr="00C736B2" w:rsidRDefault="004763A2" w:rsidP="00C736B2">
      <w:pPr>
        <w:spacing w:beforeLines="50" w:before="156" w:line="360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 w:rsidRPr="00C736B2">
        <w:rPr>
          <w:rFonts w:ascii="Arial" w:cs="Arial" w:hint="eastAsia"/>
          <w:b/>
          <w:sz w:val="24"/>
          <w:szCs w:val="24"/>
        </w:rPr>
        <w:t>特别提示：</w:t>
      </w:r>
    </w:p>
    <w:p w14:paraId="638A8A43" w14:textId="62D33F9B" w:rsidR="004763A2" w:rsidRPr="007363C7" w:rsidRDefault="004763A2" w:rsidP="00C521EE">
      <w:pPr>
        <w:autoSpaceDE w:val="0"/>
        <w:autoSpaceDN w:val="0"/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r w:rsidRPr="00E8070E">
        <w:rPr>
          <w:rFonts w:ascii="Arial" w:cs="Arial"/>
          <w:sz w:val="24"/>
          <w:szCs w:val="24"/>
        </w:rPr>
        <w:t>1</w:t>
      </w:r>
      <w:r w:rsidRPr="00E8070E">
        <w:rPr>
          <w:rFonts w:ascii="Arial" w:cs="Arial" w:hint="eastAsia"/>
          <w:sz w:val="24"/>
          <w:szCs w:val="24"/>
        </w:rPr>
        <w:t>、公司</w:t>
      </w:r>
      <w:r w:rsidRPr="00E8070E">
        <w:rPr>
          <w:rFonts w:ascii="Arial" w:cs="Arial"/>
          <w:sz w:val="24"/>
          <w:szCs w:val="24"/>
        </w:rPr>
        <w:t>2025</w:t>
      </w:r>
      <w:r w:rsidRPr="00E8070E">
        <w:rPr>
          <w:rFonts w:ascii="Arial" w:cs="Arial" w:hint="eastAsia"/>
          <w:sz w:val="24"/>
          <w:szCs w:val="24"/>
        </w:rPr>
        <w:t>年度利润分配方案预案为：</w:t>
      </w:r>
      <w:r w:rsidR="007363C7" w:rsidRPr="000861CF">
        <w:rPr>
          <w:rFonts w:ascii="Arial" w:hAnsi="宋体" w:cs="Arial" w:hint="eastAsia"/>
          <w:kern w:val="0"/>
          <w:sz w:val="24"/>
          <w:szCs w:val="24"/>
        </w:rPr>
        <w:t>以公司</w:t>
      </w:r>
      <w:r w:rsidR="0040518F" w:rsidRPr="000861CF">
        <w:rPr>
          <w:rFonts w:ascii="Arial" w:hAnsi="宋体" w:cs="Arial" w:hint="eastAsia"/>
          <w:kern w:val="0"/>
          <w:sz w:val="24"/>
          <w:szCs w:val="24"/>
        </w:rPr>
        <w:t>2025</w:t>
      </w:r>
      <w:r w:rsidR="0040518F" w:rsidRPr="000861CF">
        <w:rPr>
          <w:rFonts w:ascii="Arial" w:hAnsi="宋体" w:cs="Arial" w:hint="eastAsia"/>
          <w:kern w:val="0"/>
          <w:sz w:val="24"/>
          <w:szCs w:val="24"/>
        </w:rPr>
        <w:t>年</w:t>
      </w:r>
      <w:r w:rsidR="0040518F" w:rsidRPr="00223F9B">
        <w:rPr>
          <w:rFonts w:ascii="Arial" w:hAnsi="宋体" w:cs="Arial" w:hint="eastAsia"/>
          <w:kern w:val="0"/>
          <w:sz w:val="24"/>
          <w:szCs w:val="24"/>
        </w:rPr>
        <w:t>12</w:t>
      </w:r>
      <w:r w:rsidR="0040518F" w:rsidRPr="00223F9B">
        <w:rPr>
          <w:rFonts w:ascii="Arial" w:hAnsi="宋体" w:cs="Arial" w:hint="eastAsia"/>
          <w:kern w:val="0"/>
          <w:sz w:val="24"/>
          <w:szCs w:val="24"/>
        </w:rPr>
        <w:t>月</w:t>
      </w:r>
      <w:r w:rsidR="0040518F" w:rsidRPr="00223F9B">
        <w:rPr>
          <w:rFonts w:ascii="Arial" w:hAnsi="宋体" w:cs="Arial" w:hint="eastAsia"/>
          <w:kern w:val="0"/>
          <w:sz w:val="24"/>
          <w:szCs w:val="24"/>
        </w:rPr>
        <w:t>31</w:t>
      </w:r>
      <w:r w:rsidR="0040518F" w:rsidRPr="00223F9B">
        <w:rPr>
          <w:rFonts w:ascii="Arial" w:hAnsi="宋体" w:cs="Arial" w:hint="eastAsia"/>
          <w:kern w:val="0"/>
          <w:sz w:val="24"/>
          <w:szCs w:val="24"/>
        </w:rPr>
        <w:t>日</w:t>
      </w:r>
      <w:r w:rsidR="007363C7" w:rsidRPr="00223F9B">
        <w:rPr>
          <w:rFonts w:ascii="Arial" w:hAnsi="宋体" w:cs="Arial" w:hint="eastAsia"/>
          <w:kern w:val="0"/>
          <w:sz w:val="24"/>
          <w:szCs w:val="24"/>
        </w:rPr>
        <w:t>总股本</w:t>
      </w:r>
      <w:r w:rsidR="007363C7" w:rsidRPr="00E8070E">
        <w:rPr>
          <w:rFonts w:ascii="Arial" w:hAnsi="宋体" w:cs="Arial"/>
          <w:kern w:val="0"/>
          <w:sz w:val="24"/>
          <w:szCs w:val="24"/>
        </w:rPr>
        <w:t>246,790,497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股为基数，向全体股东每</w:t>
      </w:r>
      <w:r w:rsidR="007363C7" w:rsidRPr="00E8070E">
        <w:rPr>
          <w:rFonts w:ascii="Arial" w:hAnsi="宋体" w:cs="Arial"/>
          <w:kern w:val="0"/>
          <w:sz w:val="24"/>
          <w:szCs w:val="24"/>
        </w:rPr>
        <w:t>10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股派发现金</w:t>
      </w:r>
      <w:r w:rsidR="00D25D1C" w:rsidRPr="00E8070E">
        <w:rPr>
          <w:rFonts w:ascii="Arial" w:hAnsi="宋体" w:cs="Arial" w:hint="eastAsia"/>
          <w:kern w:val="0"/>
          <w:sz w:val="24"/>
          <w:szCs w:val="24"/>
        </w:rPr>
        <w:t>股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利人民币</w:t>
      </w:r>
      <w:r w:rsidR="00145939" w:rsidRPr="00E8070E">
        <w:rPr>
          <w:rFonts w:ascii="Arial" w:hAnsi="宋体" w:cs="Arial" w:hint="eastAsia"/>
          <w:kern w:val="0"/>
          <w:sz w:val="24"/>
          <w:szCs w:val="24"/>
        </w:rPr>
        <w:t>0.</w:t>
      </w:r>
      <w:r w:rsidR="00145939" w:rsidRPr="00E8070E">
        <w:rPr>
          <w:rFonts w:ascii="Arial" w:hAnsi="宋体" w:cs="Arial"/>
          <w:kern w:val="0"/>
          <w:sz w:val="24"/>
          <w:szCs w:val="24"/>
        </w:rPr>
        <w:t>7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0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元（含税），合计派发现金</w:t>
      </w:r>
      <w:r w:rsidR="00D25D1C" w:rsidRPr="00E8070E">
        <w:rPr>
          <w:rFonts w:ascii="Arial" w:hAnsi="宋体" w:cs="Arial" w:hint="eastAsia"/>
          <w:kern w:val="0"/>
          <w:sz w:val="24"/>
          <w:szCs w:val="24"/>
        </w:rPr>
        <w:t>股利人民币</w:t>
      </w:r>
      <w:r w:rsidR="0054241C" w:rsidRPr="00E8070E">
        <w:rPr>
          <w:rFonts w:ascii="Arial" w:hAnsi="宋体" w:cs="Arial"/>
          <w:kern w:val="0"/>
          <w:sz w:val="24"/>
          <w:szCs w:val="24"/>
        </w:rPr>
        <w:t>17,275,334.79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元（含税），</w:t>
      </w:r>
      <w:r w:rsidR="00D25D1C" w:rsidRPr="00E8070E">
        <w:rPr>
          <w:rFonts w:ascii="Arial" w:hAnsi="宋体" w:cs="Arial" w:hint="eastAsia"/>
          <w:kern w:val="0"/>
          <w:sz w:val="24"/>
          <w:szCs w:val="24"/>
        </w:rPr>
        <w:t>剩余未分配利润结转以后年度，本年度</w:t>
      </w:r>
      <w:r w:rsidR="0040518F" w:rsidRPr="00E8070E">
        <w:rPr>
          <w:rFonts w:ascii="Arial" w:cs="Arial"/>
          <w:sz w:val="24"/>
          <w:szCs w:val="24"/>
        </w:rPr>
        <w:t>不送红股，不以资本公积金转增股本</w:t>
      </w:r>
      <w:r w:rsidR="007363C7" w:rsidRPr="00E8070E">
        <w:rPr>
          <w:rFonts w:ascii="Arial" w:hAnsi="宋体" w:cs="Arial" w:hint="eastAsia"/>
          <w:kern w:val="0"/>
          <w:sz w:val="24"/>
          <w:szCs w:val="24"/>
        </w:rPr>
        <w:t>。</w:t>
      </w:r>
    </w:p>
    <w:p w14:paraId="3E29E148" w14:textId="54E0AAAB" w:rsidR="004763A2" w:rsidRDefault="004763A2" w:rsidP="00C521EE">
      <w:pPr>
        <w:autoSpaceDE w:val="0"/>
        <w:autoSpaceDN w:val="0"/>
        <w:adjustRightInd w:val="0"/>
        <w:spacing w:before="25" w:line="360" w:lineRule="auto"/>
        <w:ind w:firstLineChars="200" w:firstLine="480"/>
        <w:rPr>
          <w:rFonts w:ascii="Arial" w:cs="Arial"/>
          <w:sz w:val="24"/>
          <w:szCs w:val="24"/>
        </w:rPr>
      </w:pPr>
      <w:r w:rsidRPr="00C736B2">
        <w:rPr>
          <w:rFonts w:ascii="Arial" w:cs="Arial"/>
          <w:sz w:val="24"/>
          <w:szCs w:val="24"/>
        </w:rPr>
        <w:t>2</w:t>
      </w:r>
      <w:r w:rsidRPr="00C736B2">
        <w:rPr>
          <w:rFonts w:ascii="Arial" w:cs="Arial" w:hint="eastAsia"/>
          <w:sz w:val="24"/>
          <w:szCs w:val="24"/>
        </w:rPr>
        <w:t>、公司现金分红预案披露后，不触及《深圳证券交易所创业板股票上市规则》第</w:t>
      </w:r>
      <w:r w:rsidR="00C736B2" w:rsidRPr="00C736B2">
        <w:rPr>
          <w:rFonts w:ascii="Arial" w:cs="Arial"/>
          <w:sz w:val="24"/>
          <w:szCs w:val="24"/>
        </w:rPr>
        <w:t>9.4</w:t>
      </w:r>
      <w:r w:rsidRPr="00C736B2">
        <w:rPr>
          <w:rFonts w:ascii="Arial" w:cs="Arial" w:hint="eastAsia"/>
          <w:sz w:val="24"/>
          <w:szCs w:val="24"/>
        </w:rPr>
        <w:t>条第（八）项规定的可能被实施其他风险警示情形。</w:t>
      </w:r>
    </w:p>
    <w:p w14:paraId="67B44A5D" w14:textId="77777777" w:rsidR="004763A2" w:rsidRPr="00C736B2" w:rsidRDefault="004763A2" w:rsidP="0054241C">
      <w:pPr>
        <w:spacing w:beforeLines="50" w:before="156" w:line="348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 w:rsidRPr="00C736B2">
        <w:rPr>
          <w:rFonts w:ascii="Arial" w:cs="Arial" w:hint="eastAsia"/>
          <w:b/>
          <w:sz w:val="24"/>
          <w:szCs w:val="24"/>
        </w:rPr>
        <w:t>一、审议程序</w:t>
      </w:r>
    </w:p>
    <w:p w14:paraId="1B8BAD97" w14:textId="50EA42BE" w:rsidR="0094585E" w:rsidRDefault="007363C7" w:rsidP="00C521EE">
      <w:pPr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r>
        <w:rPr>
          <w:rFonts w:ascii="Arial" w:hAnsi="宋体" w:cs="Arial" w:hint="eastAsia"/>
          <w:kern w:val="0"/>
          <w:sz w:val="24"/>
          <w:szCs w:val="24"/>
        </w:rPr>
        <w:t>1</w:t>
      </w:r>
      <w:r>
        <w:rPr>
          <w:rFonts w:ascii="Arial" w:hAnsi="宋体" w:cs="Arial" w:hint="eastAsia"/>
          <w:kern w:val="0"/>
          <w:sz w:val="24"/>
          <w:szCs w:val="24"/>
        </w:rPr>
        <w:t>、</w:t>
      </w:r>
      <w:r w:rsidR="0094585E">
        <w:rPr>
          <w:rFonts w:ascii="Arial" w:hAnsi="宋体" w:cs="Arial" w:hint="eastAsia"/>
          <w:kern w:val="0"/>
          <w:sz w:val="24"/>
          <w:szCs w:val="24"/>
        </w:rPr>
        <w:t>董事会</w:t>
      </w:r>
      <w:r>
        <w:rPr>
          <w:rFonts w:ascii="Arial" w:hAnsi="宋体" w:cs="Arial"/>
          <w:kern w:val="0"/>
          <w:sz w:val="24"/>
          <w:szCs w:val="24"/>
        </w:rPr>
        <w:t>审计委员会</w:t>
      </w:r>
      <w:r w:rsidR="0094585E">
        <w:rPr>
          <w:rFonts w:ascii="Arial" w:hAnsi="宋体" w:cs="Arial" w:hint="eastAsia"/>
          <w:kern w:val="0"/>
          <w:sz w:val="24"/>
          <w:szCs w:val="24"/>
        </w:rPr>
        <w:t>及独立董事专门会议意见</w:t>
      </w:r>
    </w:p>
    <w:p w14:paraId="4FACD48C" w14:textId="30B2649E" w:rsidR="004763A2" w:rsidRDefault="0094585E" w:rsidP="00C521E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cs="Arial"/>
          <w:sz w:val="24"/>
          <w:szCs w:val="24"/>
        </w:rPr>
        <w:t>公司</w:t>
      </w:r>
      <w:r>
        <w:rPr>
          <w:rFonts w:ascii="Arial" w:cs="Arial" w:hint="eastAsia"/>
          <w:sz w:val="24"/>
          <w:szCs w:val="24"/>
        </w:rPr>
        <w:t>第</w:t>
      </w:r>
      <w:r>
        <w:rPr>
          <w:rFonts w:ascii="Arial" w:cs="Arial"/>
          <w:sz w:val="24"/>
          <w:szCs w:val="24"/>
        </w:rPr>
        <w:t>六</w:t>
      </w:r>
      <w:r>
        <w:rPr>
          <w:rFonts w:ascii="Arial" w:cs="Arial" w:hint="eastAsia"/>
          <w:sz w:val="24"/>
          <w:szCs w:val="24"/>
        </w:rPr>
        <w:t>届</w:t>
      </w:r>
      <w:r>
        <w:rPr>
          <w:rFonts w:ascii="Arial" w:cs="Arial"/>
          <w:sz w:val="24"/>
          <w:szCs w:val="24"/>
        </w:rPr>
        <w:t>董事会审计委员会第</w:t>
      </w:r>
      <w:r>
        <w:rPr>
          <w:rFonts w:ascii="Arial" w:cs="Arial" w:hint="eastAsia"/>
          <w:sz w:val="24"/>
          <w:szCs w:val="24"/>
        </w:rPr>
        <w:t>十三次</w:t>
      </w:r>
      <w:r>
        <w:rPr>
          <w:rFonts w:ascii="Arial" w:cs="Arial"/>
          <w:sz w:val="24"/>
          <w:szCs w:val="24"/>
        </w:rPr>
        <w:t>会议</w:t>
      </w:r>
      <w:r>
        <w:rPr>
          <w:rFonts w:ascii="Arial" w:cs="Arial" w:hint="eastAsia"/>
          <w:sz w:val="24"/>
          <w:szCs w:val="24"/>
        </w:rPr>
        <w:t>、第</w:t>
      </w:r>
      <w:r>
        <w:rPr>
          <w:rFonts w:ascii="Arial" w:cs="Arial"/>
          <w:sz w:val="24"/>
          <w:szCs w:val="24"/>
        </w:rPr>
        <w:t>六</w:t>
      </w:r>
      <w:r>
        <w:rPr>
          <w:rFonts w:ascii="Arial" w:cs="Arial" w:hint="eastAsia"/>
          <w:sz w:val="24"/>
          <w:szCs w:val="24"/>
        </w:rPr>
        <w:t>届董事会独立董事第十一次专门会议事前审议了《关于公司</w:t>
      </w:r>
      <w:r>
        <w:rPr>
          <w:rFonts w:ascii="Arial" w:cs="Arial" w:hint="eastAsia"/>
          <w:sz w:val="24"/>
          <w:szCs w:val="24"/>
        </w:rPr>
        <w:t>2025</w:t>
      </w:r>
      <w:r>
        <w:rPr>
          <w:rFonts w:ascii="Arial" w:cs="Arial" w:hint="eastAsia"/>
          <w:sz w:val="24"/>
          <w:szCs w:val="24"/>
        </w:rPr>
        <w:t>年度利润分配预案的议案》，</w:t>
      </w:r>
      <w:r w:rsidR="007363C7">
        <w:rPr>
          <w:rFonts w:ascii="Arial" w:cs="Arial" w:hint="eastAsia"/>
          <w:sz w:val="24"/>
          <w:szCs w:val="24"/>
        </w:rPr>
        <w:t>认为：公司</w:t>
      </w:r>
      <w:r w:rsidR="007363C7">
        <w:rPr>
          <w:rFonts w:ascii="Arial" w:cs="Arial" w:hint="eastAsia"/>
          <w:sz w:val="24"/>
          <w:szCs w:val="24"/>
        </w:rPr>
        <w:t>2025</w:t>
      </w:r>
      <w:r w:rsidR="007363C7">
        <w:rPr>
          <w:rFonts w:ascii="Arial" w:cs="Arial" w:hint="eastAsia"/>
          <w:sz w:val="24"/>
          <w:szCs w:val="24"/>
        </w:rPr>
        <w:t>年度利润分配预案</w:t>
      </w:r>
      <w:r w:rsidR="007363C7">
        <w:rPr>
          <w:rFonts w:ascii="Arial" w:cs="Arial"/>
          <w:sz w:val="24"/>
          <w:szCs w:val="24"/>
        </w:rPr>
        <w:t>符合《公司法》《上市公司监管指引第</w:t>
      </w:r>
      <w:r w:rsidR="007363C7">
        <w:rPr>
          <w:rFonts w:ascii="Arial" w:cs="Arial"/>
          <w:sz w:val="24"/>
          <w:szCs w:val="24"/>
        </w:rPr>
        <w:t xml:space="preserve"> 3 </w:t>
      </w:r>
      <w:r w:rsidR="007363C7">
        <w:rPr>
          <w:rFonts w:ascii="Arial" w:cs="Arial"/>
          <w:sz w:val="24"/>
          <w:szCs w:val="24"/>
        </w:rPr>
        <w:t>号</w:t>
      </w:r>
      <w:r w:rsidR="007363C7">
        <w:rPr>
          <w:rFonts w:ascii="Arial" w:cs="Arial"/>
          <w:sz w:val="24"/>
          <w:szCs w:val="24"/>
        </w:rPr>
        <w:t>—</w:t>
      </w:r>
      <w:r w:rsidR="007363C7">
        <w:rPr>
          <w:rFonts w:ascii="Arial" w:cs="Arial"/>
          <w:sz w:val="24"/>
          <w:szCs w:val="24"/>
        </w:rPr>
        <w:t>上市公司现金分红》等相关法律法规、规范性文件及《公司章程》</w:t>
      </w:r>
      <w:r w:rsidR="007363C7">
        <w:rPr>
          <w:rFonts w:ascii="Arial" w:cs="Arial" w:hint="eastAsia"/>
          <w:sz w:val="24"/>
          <w:szCs w:val="24"/>
        </w:rPr>
        <w:t>的有关规定</w:t>
      </w:r>
      <w:r w:rsidR="00D226EA">
        <w:rPr>
          <w:rFonts w:ascii="Arial" w:hAnsi="宋体" w:cs="Arial" w:hint="eastAsia"/>
          <w:sz w:val="24"/>
          <w:szCs w:val="24"/>
        </w:rPr>
        <w:t>，</w:t>
      </w:r>
      <w:bookmarkStart w:id="0" w:name="_Hlk225671018"/>
      <w:r w:rsidR="00D226EA" w:rsidRPr="00D226EA">
        <w:rPr>
          <w:rFonts w:ascii="Arial" w:hAnsi="宋体" w:cs="Arial"/>
          <w:sz w:val="24"/>
          <w:szCs w:val="24"/>
        </w:rPr>
        <w:t>综合考虑了股东回报、公司经营发展等因素</w:t>
      </w:r>
      <w:r w:rsidR="007363C7">
        <w:rPr>
          <w:rFonts w:ascii="Arial" w:hAnsi="宋体" w:cs="Arial"/>
          <w:sz w:val="24"/>
          <w:szCs w:val="24"/>
        </w:rPr>
        <w:t>，具备合法性、合</w:t>
      </w:r>
      <w:proofErr w:type="gramStart"/>
      <w:r w:rsidR="007363C7">
        <w:rPr>
          <w:rFonts w:ascii="Arial" w:hAnsi="宋体" w:cs="Arial"/>
          <w:sz w:val="24"/>
          <w:szCs w:val="24"/>
        </w:rPr>
        <w:t>规</w:t>
      </w:r>
      <w:proofErr w:type="gramEnd"/>
      <w:r w:rsidR="007363C7">
        <w:rPr>
          <w:rFonts w:ascii="Arial" w:hAnsi="宋体" w:cs="Arial"/>
          <w:sz w:val="24"/>
          <w:szCs w:val="24"/>
        </w:rPr>
        <w:t>性</w:t>
      </w:r>
      <w:r w:rsidR="007D3FD8">
        <w:rPr>
          <w:rFonts w:ascii="Arial" w:hAnsi="宋体" w:cs="Arial" w:hint="eastAsia"/>
          <w:sz w:val="24"/>
          <w:szCs w:val="24"/>
        </w:rPr>
        <w:t>、合理性</w:t>
      </w:r>
      <w:r w:rsidR="007363C7">
        <w:rPr>
          <w:rFonts w:ascii="Arial" w:cs="Arial"/>
          <w:sz w:val="24"/>
          <w:szCs w:val="24"/>
        </w:rPr>
        <w:t>，</w:t>
      </w:r>
      <w:r w:rsidR="007363C7">
        <w:rPr>
          <w:rFonts w:ascii="Arial" w:cs="Arial" w:hint="eastAsia"/>
          <w:sz w:val="24"/>
          <w:szCs w:val="24"/>
        </w:rPr>
        <w:t>不存在损害公司及全体股东尤其中小股东的利益的情形</w:t>
      </w:r>
      <w:r w:rsidR="007D3FD8">
        <w:rPr>
          <w:rFonts w:ascii="Arial" w:cs="Arial" w:hint="eastAsia"/>
          <w:sz w:val="24"/>
          <w:szCs w:val="24"/>
        </w:rPr>
        <w:t>，</w:t>
      </w:r>
      <w:bookmarkEnd w:id="0"/>
      <w:r w:rsidR="007363C7">
        <w:rPr>
          <w:rFonts w:ascii="Arial" w:cs="Arial"/>
          <w:sz w:val="24"/>
          <w:szCs w:val="24"/>
        </w:rPr>
        <w:t>同意将该预案提交公司第六</w:t>
      </w:r>
      <w:r w:rsidR="007363C7">
        <w:rPr>
          <w:rFonts w:ascii="Arial" w:cs="Arial" w:hint="eastAsia"/>
          <w:sz w:val="24"/>
          <w:szCs w:val="24"/>
        </w:rPr>
        <w:t>届</w:t>
      </w:r>
      <w:r w:rsidR="007363C7">
        <w:rPr>
          <w:rFonts w:ascii="Arial" w:cs="Arial"/>
          <w:sz w:val="24"/>
          <w:szCs w:val="24"/>
        </w:rPr>
        <w:t>董事会</w:t>
      </w:r>
      <w:r w:rsidR="007363C7">
        <w:rPr>
          <w:rFonts w:ascii="Arial" w:cs="Arial" w:hint="eastAsia"/>
          <w:sz w:val="24"/>
          <w:szCs w:val="24"/>
        </w:rPr>
        <w:t>第</w:t>
      </w:r>
      <w:r w:rsidR="007363C7">
        <w:rPr>
          <w:rFonts w:ascii="Arial" w:cs="Arial"/>
          <w:sz w:val="24"/>
          <w:szCs w:val="24"/>
        </w:rPr>
        <w:t>十</w:t>
      </w:r>
      <w:r w:rsidR="007363C7">
        <w:rPr>
          <w:rFonts w:ascii="Arial" w:cs="Arial" w:hint="eastAsia"/>
          <w:sz w:val="24"/>
          <w:szCs w:val="24"/>
        </w:rPr>
        <w:t>八</w:t>
      </w:r>
      <w:r w:rsidR="007363C7">
        <w:rPr>
          <w:rFonts w:ascii="Arial" w:cs="Arial"/>
          <w:sz w:val="24"/>
          <w:szCs w:val="24"/>
        </w:rPr>
        <w:t>次会议审议</w:t>
      </w:r>
      <w:r w:rsidR="004763A2" w:rsidRPr="00C736B2">
        <w:rPr>
          <w:rFonts w:ascii="Arial" w:cs="Arial" w:hint="eastAsia"/>
          <w:sz w:val="24"/>
          <w:szCs w:val="24"/>
        </w:rPr>
        <w:t>。</w:t>
      </w:r>
    </w:p>
    <w:p w14:paraId="3462D5DA" w14:textId="77777777" w:rsidR="004763A2" w:rsidRPr="00C736B2" w:rsidRDefault="004763A2" w:rsidP="00C521E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 w:rsidRPr="00C736B2">
        <w:rPr>
          <w:rFonts w:ascii="Arial" w:cs="Arial"/>
          <w:sz w:val="24"/>
          <w:szCs w:val="24"/>
        </w:rPr>
        <w:t>2</w:t>
      </w:r>
      <w:r w:rsidRPr="00C736B2">
        <w:rPr>
          <w:rFonts w:ascii="Arial" w:cs="Arial" w:hint="eastAsia"/>
          <w:sz w:val="24"/>
          <w:szCs w:val="24"/>
        </w:rPr>
        <w:t>、董事会审议意见</w:t>
      </w:r>
    </w:p>
    <w:p w14:paraId="0E545605" w14:textId="10741683" w:rsidR="004763A2" w:rsidRPr="00C736B2" w:rsidRDefault="007363C7" w:rsidP="00C521E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hAnsi="宋体" w:cs="Arial" w:hint="eastAsia"/>
          <w:kern w:val="0"/>
          <w:sz w:val="24"/>
          <w:szCs w:val="24"/>
        </w:rPr>
        <w:t>公司</w:t>
      </w:r>
      <w:r w:rsidR="008D5312">
        <w:rPr>
          <w:rFonts w:ascii="Arial" w:hAnsi="宋体" w:cs="Arial" w:hint="eastAsia"/>
          <w:kern w:val="0"/>
          <w:sz w:val="24"/>
          <w:szCs w:val="24"/>
        </w:rPr>
        <w:t>于</w:t>
      </w:r>
      <w:r w:rsidR="008D5312">
        <w:rPr>
          <w:rFonts w:ascii="Arial" w:hAnsi="宋体" w:cs="Arial" w:hint="eastAsia"/>
          <w:kern w:val="0"/>
          <w:sz w:val="24"/>
          <w:szCs w:val="24"/>
        </w:rPr>
        <w:t>2026</w:t>
      </w:r>
      <w:r w:rsidR="008D5312">
        <w:rPr>
          <w:rFonts w:ascii="Arial" w:hAnsi="宋体" w:cs="Arial" w:hint="eastAsia"/>
          <w:kern w:val="0"/>
          <w:sz w:val="24"/>
          <w:szCs w:val="24"/>
        </w:rPr>
        <w:t>年</w:t>
      </w:r>
      <w:r w:rsidR="008D5312">
        <w:rPr>
          <w:rFonts w:ascii="Arial" w:hAnsi="宋体" w:cs="Arial" w:hint="eastAsia"/>
          <w:kern w:val="0"/>
          <w:sz w:val="24"/>
          <w:szCs w:val="24"/>
        </w:rPr>
        <w:t>4</w:t>
      </w:r>
      <w:r w:rsidR="008D5312">
        <w:rPr>
          <w:rFonts w:ascii="Arial" w:hAnsi="宋体" w:cs="Arial" w:hint="eastAsia"/>
          <w:kern w:val="0"/>
          <w:sz w:val="24"/>
          <w:szCs w:val="24"/>
        </w:rPr>
        <w:t>月</w:t>
      </w:r>
      <w:r w:rsidR="008D5312">
        <w:rPr>
          <w:rFonts w:ascii="Arial" w:hAnsi="宋体" w:cs="Arial" w:hint="eastAsia"/>
          <w:kern w:val="0"/>
          <w:sz w:val="24"/>
          <w:szCs w:val="24"/>
        </w:rPr>
        <w:t>1</w:t>
      </w:r>
      <w:r w:rsidR="008D5312">
        <w:rPr>
          <w:rFonts w:ascii="Arial" w:hAnsi="宋体" w:cs="Arial" w:hint="eastAsia"/>
          <w:kern w:val="0"/>
          <w:sz w:val="24"/>
          <w:szCs w:val="24"/>
        </w:rPr>
        <w:t>日召开</w:t>
      </w:r>
      <w:r>
        <w:rPr>
          <w:rFonts w:ascii="Arial" w:hAnsi="宋体" w:cs="Arial" w:hint="eastAsia"/>
          <w:kern w:val="0"/>
          <w:sz w:val="24"/>
          <w:szCs w:val="24"/>
        </w:rPr>
        <w:t>第</w:t>
      </w:r>
      <w:r>
        <w:rPr>
          <w:rFonts w:ascii="Arial" w:hAnsi="宋体" w:cs="Arial"/>
          <w:kern w:val="0"/>
          <w:sz w:val="24"/>
          <w:szCs w:val="24"/>
        </w:rPr>
        <w:t>六</w:t>
      </w:r>
      <w:r>
        <w:rPr>
          <w:rFonts w:ascii="Arial" w:hAnsi="宋体" w:cs="Arial" w:hint="eastAsia"/>
          <w:kern w:val="0"/>
          <w:sz w:val="24"/>
          <w:szCs w:val="24"/>
        </w:rPr>
        <w:t>届董事会第</w:t>
      </w:r>
      <w:r>
        <w:rPr>
          <w:rFonts w:ascii="Arial" w:hAnsi="宋体" w:cs="Arial"/>
          <w:kern w:val="0"/>
          <w:sz w:val="24"/>
          <w:szCs w:val="24"/>
        </w:rPr>
        <w:t>十</w:t>
      </w:r>
      <w:r>
        <w:rPr>
          <w:rFonts w:ascii="Arial" w:hAnsi="宋体" w:cs="Arial" w:hint="eastAsia"/>
          <w:kern w:val="0"/>
          <w:sz w:val="24"/>
          <w:szCs w:val="24"/>
        </w:rPr>
        <w:t>八次会议</w:t>
      </w:r>
      <w:r w:rsidR="008D5312">
        <w:rPr>
          <w:rFonts w:ascii="Arial" w:hAnsi="宋体" w:cs="Arial" w:hint="eastAsia"/>
          <w:kern w:val="0"/>
          <w:sz w:val="24"/>
          <w:szCs w:val="24"/>
        </w:rPr>
        <w:t>，</w:t>
      </w:r>
      <w:r>
        <w:rPr>
          <w:rFonts w:ascii="Arial" w:hAnsi="宋体" w:cs="Arial" w:hint="eastAsia"/>
          <w:kern w:val="0"/>
          <w:sz w:val="24"/>
          <w:szCs w:val="24"/>
        </w:rPr>
        <w:t>审议通过了</w:t>
      </w:r>
      <w:r>
        <w:rPr>
          <w:rFonts w:ascii="Arial" w:cs="Arial"/>
          <w:sz w:val="24"/>
          <w:szCs w:val="24"/>
        </w:rPr>
        <w:t>《关于公司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25</w:t>
      </w:r>
      <w:r>
        <w:rPr>
          <w:rFonts w:ascii="Arial" w:cs="Arial"/>
          <w:sz w:val="24"/>
          <w:szCs w:val="24"/>
        </w:rPr>
        <w:t>年度利润分配预案的议案》</w:t>
      </w:r>
      <w:r>
        <w:rPr>
          <w:rFonts w:ascii="Arial" w:cs="Arial" w:hint="eastAsia"/>
          <w:sz w:val="24"/>
          <w:szCs w:val="24"/>
        </w:rPr>
        <w:t>。董事会认为：公司</w:t>
      </w:r>
      <w:r>
        <w:rPr>
          <w:rFonts w:ascii="Arial" w:cs="Arial" w:hint="eastAsia"/>
          <w:sz w:val="24"/>
          <w:szCs w:val="24"/>
        </w:rPr>
        <w:t>2025</w:t>
      </w:r>
      <w:r>
        <w:rPr>
          <w:rFonts w:ascii="Arial" w:cs="Arial" w:hint="eastAsia"/>
          <w:sz w:val="24"/>
          <w:szCs w:val="24"/>
        </w:rPr>
        <w:t>年度</w:t>
      </w:r>
      <w:r>
        <w:rPr>
          <w:rFonts w:ascii="Arial" w:cs="Arial"/>
          <w:sz w:val="24"/>
          <w:szCs w:val="24"/>
        </w:rPr>
        <w:t>利润分配预案符合《公司法》《上市公司监管指引第</w:t>
      </w:r>
      <w:r>
        <w:rPr>
          <w:rFonts w:ascii="Arial" w:cs="Arial"/>
          <w:sz w:val="24"/>
          <w:szCs w:val="24"/>
        </w:rPr>
        <w:t xml:space="preserve"> 3 </w:t>
      </w:r>
      <w:r>
        <w:rPr>
          <w:rFonts w:ascii="Arial" w:cs="Arial"/>
          <w:sz w:val="24"/>
          <w:szCs w:val="24"/>
        </w:rPr>
        <w:t>号</w:t>
      </w:r>
      <w:r>
        <w:rPr>
          <w:rFonts w:ascii="Arial" w:cs="Arial"/>
          <w:sz w:val="24"/>
          <w:szCs w:val="24"/>
        </w:rPr>
        <w:t>—</w:t>
      </w:r>
      <w:r>
        <w:rPr>
          <w:rFonts w:ascii="Arial" w:cs="Arial"/>
          <w:sz w:val="24"/>
          <w:szCs w:val="24"/>
        </w:rPr>
        <w:t>上市公司现金分红》等相关法律法规、规范性文件及《公司章程》</w:t>
      </w:r>
      <w:r>
        <w:rPr>
          <w:rFonts w:ascii="Arial" w:cs="Arial" w:hint="eastAsia"/>
          <w:sz w:val="24"/>
          <w:szCs w:val="24"/>
        </w:rPr>
        <w:t>的</w:t>
      </w:r>
      <w:r>
        <w:rPr>
          <w:rFonts w:ascii="Arial" w:cs="Arial"/>
          <w:sz w:val="24"/>
          <w:szCs w:val="24"/>
        </w:rPr>
        <w:t>有关规定，</w:t>
      </w:r>
      <w:r>
        <w:rPr>
          <w:rFonts w:ascii="Arial" w:cs="Arial" w:hint="eastAsia"/>
          <w:sz w:val="24"/>
          <w:szCs w:val="24"/>
        </w:rPr>
        <w:t>综合考虑了公司经营情况、未来发展资金需求以及股东投资回报等因素，与公司经营业绩及长远发展相匹配，有利于全体股东共享</w:t>
      </w:r>
      <w:r>
        <w:rPr>
          <w:rFonts w:ascii="Arial" w:cs="Arial" w:hint="eastAsia"/>
          <w:sz w:val="24"/>
          <w:szCs w:val="24"/>
        </w:rPr>
        <w:lastRenderedPageBreak/>
        <w:t>公司经营成果，具备合法性、合</w:t>
      </w:r>
      <w:proofErr w:type="gramStart"/>
      <w:r>
        <w:rPr>
          <w:rFonts w:ascii="Arial" w:cs="Arial" w:hint="eastAsia"/>
          <w:sz w:val="24"/>
          <w:szCs w:val="24"/>
        </w:rPr>
        <w:t>规</w:t>
      </w:r>
      <w:proofErr w:type="gramEnd"/>
      <w:r>
        <w:rPr>
          <w:rFonts w:ascii="Arial" w:cs="Arial" w:hint="eastAsia"/>
          <w:sz w:val="24"/>
          <w:szCs w:val="24"/>
        </w:rPr>
        <w:t>性及合理性，同意将该议案提交公司</w:t>
      </w:r>
      <w:r>
        <w:rPr>
          <w:rFonts w:ascii="Arial" w:cs="Arial" w:hint="eastAsia"/>
          <w:sz w:val="24"/>
          <w:szCs w:val="24"/>
        </w:rPr>
        <w:t>2025</w:t>
      </w:r>
      <w:r>
        <w:rPr>
          <w:rFonts w:ascii="Arial" w:cs="Arial" w:hint="eastAsia"/>
          <w:sz w:val="24"/>
          <w:szCs w:val="24"/>
        </w:rPr>
        <w:t>年年度股东会审议</w:t>
      </w:r>
      <w:r w:rsidR="004763A2" w:rsidRPr="00C736B2">
        <w:rPr>
          <w:rFonts w:ascii="Arial" w:cs="Arial" w:hint="eastAsia"/>
          <w:sz w:val="24"/>
          <w:szCs w:val="24"/>
        </w:rPr>
        <w:t>。</w:t>
      </w:r>
    </w:p>
    <w:p w14:paraId="5474A6BA" w14:textId="7D656FED" w:rsidR="004763A2" w:rsidRDefault="004763A2" w:rsidP="00C521E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 w:rsidRPr="00C736B2">
        <w:rPr>
          <w:rFonts w:ascii="Arial" w:cs="Arial" w:hint="eastAsia"/>
          <w:sz w:val="24"/>
          <w:szCs w:val="24"/>
        </w:rPr>
        <w:t>3</w:t>
      </w:r>
      <w:r w:rsidRPr="00C736B2">
        <w:rPr>
          <w:rFonts w:ascii="Arial" w:cs="Arial" w:hint="eastAsia"/>
          <w:sz w:val="24"/>
          <w:szCs w:val="24"/>
        </w:rPr>
        <w:t>、本议案尚需提交公司</w:t>
      </w:r>
      <w:r w:rsidRPr="00C736B2">
        <w:rPr>
          <w:rFonts w:ascii="Arial" w:cs="Arial" w:hint="eastAsia"/>
          <w:sz w:val="24"/>
          <w:szCs w:val="24"/>
        </w:rPr>
        <w:t>2025</w:t>
      </w:r>
      <w:r w:rsidRPr="00C736B2">
        <w:rPr>
          <w:rFonts w:ascii="Arial" w:cs="Arial" w:hint="eastAsia"/>
          <w:sz w:val="24"/>
          <w:szCs w:val="24"/>
        </w:rPr>
        <w:t>年年度股东会审议。</w:t>
      </w:r>
    </w:p>
    <w:p w14:paraId="05EEF686" w14:textId="1BA8ACFB" w:rsidR="004763A2" w:rsidRDefault="004763A2" w:rsidP="00C521EE">
      <w:pPr>
        <w:spacing w:beforeLines="50" w:before="156" w:line="360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 w:rsidRPr="00C736B2">
        <w:rPr>
          <w:rFonts w:ascii="Arial" w:cs="Arial" w:hint="eastAsia"/>
          <w:b/>
          <w:sz w:val="24"/>
          <w:szCs w:val="24"/>
        </w:rPr>
        <w:t>二、</w:t>
      </w:r>
      <w:r w:rsidR="00C736B2" w:rsidRPr="00C736B2">
        <w:rPr>
          <w:rFonts w:ascii="Arial" w:cs="Arial" w:hint="eastAsia"/>
          <w:b/>
          <w:sz w:val="24"/>
          <w:szCs w:val="24"/>
        </w:rPr>
        <w:t>2025</w:t>
      </w:r>
      <w:r w:rsidR="00C736B2" w:rsidRPr="00C736B2">
        <w:rPr>
          <w:rFonts w:ascii="Arial" w:cs="Arial" w:hint="eastAsia"/>
          <w:b/>
          <w:sz w:val="24"/>
          <w:szCs w:val="24"/>
        </w:rPr>
        <w:t>年度</w:t>
      </w:r>
      <w:r w:rsidR="00C736B2" w:rsidRPr="00C736B2">
        <w:rPr>
          <w:rFonts w:ascii="Arial" w:cs="Arial"/>
          <w:b/>
          <w:sz w:val="24"/>
          <w:szCs w:val="24"/>
        </w:rPr>
        <w:t>利润分配</w:t>
      </w:r>
      <w:r w:rsidR="00C736B2" w:rsidRPr="00C736B2">
        <w:rPr>
          <w:rFonts w:ascii="Arial" w:cs="Arial" w:hint="eastAsia"/>
          <w:b/>
          <w:sz w:val="24"/>
          <w:szCs w:val="24"/>
        </w:rPr>
        <w:t>预案的</w:t>
      </w:r>
      <w:r w:rsidR="00C736B2" w:rsidRPr="00C736B2">
        <w:rPr>
          <w:rFonts w:ascii="Arial" w:cs="Arial"/>
          <w:b/>
          <w:sz w:val="24"/>
          <w:szCs w:val="24"/>
        </w:rPr>
        <w:t>基本情况</w:t>
      </w:r>
    </w:p>
    <w:p w14:paraId="3ACED4D2" w14:textId="238A999F" w:rsidR="00C736B2" w:rsidRPr="00C736B2" w:rsidRDefault="00C736B2" w:rsidP="00C521EE">
      <w:pPr>
        <w:autoSpaceDE w:val="0"/>
        <w:autoSpaceDN w:val="0"/>
        <w:adjustRightInd w:val="0"/>
        <w:spacing w:beforeLines="25" w:before="78" w:line="360" w:lineRule="auto"/>
        <w:ind w:firstLineChars="200" w:firstLine="480"/>
        <w:rPr>
          <w:rFonts w:ascii="Arial" w:cs="Arial"/>
          <w:sz w:val="24"/>
          <w:szCs w:val="24"/>
        </w:rPr>
      </w:pPr>
      <w:r w:rsidRPr="00C736B2">
        <w:rPr>
          <w:rFonts w:ascii="Arial" w:cs="Arial" w:hint="eastAsia"/>
          <w:sz w:val="24"/>
          <w:szCs w:val="24"/>
        </w:rPr>
        <w:t>1</w:t>
      </w:r>
      <w:r w:rsidRPr="00C736B2">
        <w:rPr>
          <w:rFonts w:ascii="Arial" w:cs="Arial" w:hint="eastAsia"/>
          <w:sz w:val="24"/>
          <w:szCs w:val="24"/>
        </w:rPr>
        <w:t>、</w:t>
      </w:r>
      <w:r>
        <w:rPr>
          <w:rFonts w:ascii="Arial" w:cs="Arial" w:hint="eastAsia"/>
          <w:sz w:val="24"/>
          <w:szCs w:val="24"/>
        </w:rPr>
        <w:t>本次利润分配预案为</w:t>
      </w:r>
      <w:r>
        <w:rPr>
          <w:rFonts w:ascii="Arial" w:cs="Arial" w:hint="eastAsia"/>
          <w:sz w:val="24"/>
          <w:szCs w:val="24"/>
        </w:rPr>
        <w:t>2</w:t>
      </w:r>
      <w:r>
        <w:rPr>
          <w:rFonts w:ascii="Arial" w:cs="Arial"/>
          <w:sz w:val="24"/>
          <w:szCs w:val="24"/>
        </w:rPr>
        <w:t>025</w:t>
      </w:r>
      <w:r>
        <w:rPr>
          <w:rFonts w:ascii="Arial" w:cs="Arial"/>
          <w:sz w:val="24"/>
          <w:szCs w:val="24"/>
        </w:rPr>
        <w:t>年度利润分配</w:t>
      </w:r>
      <w:r w:rsidR="008D5312">
        <w:rPr>
          <w:rFonts w:ascii="Arial" w:cs="Arial" w:hint="eastAsia"/>
          <w:sz w:val="24"/>
          <w:szCs w:val="24"/>
        </w:rPr>
        <w:t>。</w:t>
      </w:r>
    </w:p>
    <w:p w14:paraId="676EA8BA" w14:textId="3FDFC375" w:rsidR="00431E6B" w:rsidRPr="00C521EE" w:rsidRDefault="00C736B2" w:rsidP="00C521EE">
      <w:pPr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bookmarkStart w:id="1" w:name="OLE_LINK36"/>
      <w:r>
        <w:rPr>
          <w:rFonts w:ascii="Arial" w:hAnsi="宋体" w:cs="Arial" w:hint="eastAsia"/>
          <w:kern w:val="0"/>
          <w:sz w:val="24"/>
          <w:szCs w:val="24"/>
        </w:rPr>
        <w:t>2</w:t>
      </w:r>
      <w:r>
        <w:rPr>
          <w:rFonts w:ascii="Arial" w:hAnsi="宋体" w:cs="Arial" w:hint="eastAsia"/>
          <w:kern w:val="0"/>
          <w:sz w:val="24"/>
          <w:szCs w:val="24"/>
        </w:rPr>
        <w:t>、</w:t>
      </w:r>
      <w:r w:rsidR="008F40A5">
        <w:rPr>
          <w:rFonts w:ascii="Arial" w:hAnsi="宋体" w:cs="Arial" w:hint="eastAsia"/>
          <w:kern w:val="0"/>
          <w:sz w:val="24"/>
          <w:szCs w:val="24"/>
        </w:rPr>
        <w:t>经希格玛会计师事务所（特殊普通合伙）审计确认，</w:t>
      </w:r>
      <w:r w:rsidR="00D25D1C" w:rsidDel="008D5312">
        <w:rPr>
          <w:rFonts w:ascii="Arial" w:hAnsi="宋体" w:cs="Arial" w:hint="eastAsia"/>
          <w:kern w:val="0"/>
          <w:sz w:val="24"/>
          <w:szCs w:val="24"/>
        </w:rPr>
        <w:t xml:space="preserve"> </w:t>
      </w:r>
      <w:bookmarkStart w:id="2" w:name="OLE_LINK15"/>
      <w:r w:rsidR="00431E6B" w:rsidRPr="00C521EE">
        <w:rPr>
          <w:rFonts w:ascii="Arial" w:hAnsi="宋体" w:cs="Arial" w:hint="eastAsia"/>
          <w:kern w:val="0"/>
          <w:sz w:val="24"/>
          <w:szCs w:val="24"/>
        </w:rPr>
        <w:t>公司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年度合并报表实现归属于上市公司股东的净利润为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54,113,848.48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元，其中母公司实现净利润为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54,133,712.39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元。根据《公司法》《公司章程》等相关规定，按母公司实现净利润的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10%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提取法定盈余公积金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5,413,371.24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元后，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年度当年母公司可供分配利润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 xml:space="preserve"> 48,720,341.15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元，加上年初母公司未分配利润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 xml:space="preserve"> 258,845,622.59 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元，</w:t>
      </w:r>
      <w:r w:rsidR="00D25D1C" w:rsidRPr="00C521EE">
        <w:rPr>
          <w:rFonts w:ascii="Arial" w:hAnsi="宋体" w:cs="Arial" w:hint="eastAsia"/>
          <w:kern w:val="0"/>
          <w:sz w:val="24"/>
          <w:szCs w:val="24"/>
        </w:rPr>
        <w:t>扣除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年期间已实施</w:t>
      </w:r>
      <w:r w:rsidR="00D25D1C" w:rsidRPr="00C521EE">
        <w:rPr>
          <w:rFonts w:ascii="Arial" w:hAnsi="宋体" w:cs="Arial" w:hint="eastAsia"/>
          <w:kern w:val="0"/>
          <w:sz w:val="24"/>
          <w:szCs w:val="24"/>
        </w:rPr>
        <w:t>分配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的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2024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年现金股利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22,211,144.73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元，加回未来预计不可解锁的限制性股票</w:t>
      </w:r>
      <w:r w:rsidR="00D25D1C" w:rsidRPr="00C521EE">
        <w:rPr>
          <w:rFonts w:ascii="Arial" w:hAnsi="宋体" w:cs="Arial" w:hint="eastAsia"/>
          <w:kern w:val="0"/>
          <w:sz w:val="24"/>
          <w:szCs w:val="24"/>
        </w:rPr>
        <w:t>现金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股利</w:t>
      </w:r>
      <w:r w:rsidR="00431E6B" w:rsidRPr="00C521EE">
        <w:rPr>
          <w:rFonts w:ascii="Arial" w:hAnsi="宋体" w:cs="Arial"/>
          <w:kern w:val="0"/>
          <w:sz w:val="24"/>
          <w:szCs w:val="24"/>
        </w:rPr>
        <w:t>191,271.6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元，截至</w:t>
      </w:r>
      <w:r w:rsidR="00431E6B" w:rsidRPr="00C521EE">
        <w:rPr>
          <w:rFonts w:ascii="Arial" w:hAnsi="宋体" w:cs="Arial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年末，母公司累计可供股东分配的利润为</w:t>
      </w:r>
      <w:r w:rsidR="00431E6B" w:rsidRPr="00C521EE">
        <w:rPr>
          <w:rFonts w:ascii="Arial" w:hAnsi="宋体" w:cs="Arial"/>
          <w:kern w:val="0"/>
          <w:sz w:val="24"/>
          <w:szCs w:val="24"/>
        </w:rPr>
        <w:t>285,546,090.61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元。公司</w:t>
      </w:r>
      <w:r w:rsidR="00431E6B" w:rsidRPr="00C521EE">
        <w:rPr>
          <w:rFonts w:ascii="Arial" w:hAnsi="宋体" w:cs="Arial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年度合并报表可供股东分配的利润为</w:t>
      </w:r>
      <w:r w:rsidR="00431E6B" w:rsidRPr="00C521EE">
        <w:rPr>
          <w:rFonts w:ascii="Arial" w:hAnsi="宋体" w:cs="Arial"/>
          <w:kern w:val="0"/>
          <w:sz w:val="24"/>
          <w:szCs w:val="24"/>
        </w:rPr>
        <w:t xml:space="preserve">285,600,591.91 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元。根据《深圳证券交易所上市公司自律监管指引第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号—创业板上市公司规范运作》规定，按照合并报表、母公司报表中可供分配利润孰低原则，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2025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年度可供股东分配的利润为</w:t>
      </w:r>
      <w:r w:rsidR="00431E6B" w:rsidRPr="00C521EE">
        <w:rPr>
          <w:rFonts w:ascii="Arial" w:hAnsi="宋体" w:cs="Arial"/>
          <w:kern w:val="0"/>
          <w:sz w:val="24"/>
          <w:szCs w:val="24"/>
        </w:rPr>
        <w:t>285,546,090.61</w:t>
      </w:r>
      <w:r w:rsidR="00431E6B" w:rsidRPr="00C521EE">
        <w:rPr>
          <w:rFonts w:ascii="Arial" w:hAnsi="宋体" w:cs="Arial" w:hint="eastAsia"/>
          <w:kern w:val="0"/>
          <w:sz w:val="24"/>
          <w:szCs w:val="24"/>
        </w:rPr>
        <w:t>元。</w:t>
      </w:r>
    </w:p>
    <w:bookmarkEnd w:id="1"/>
    <w:bookmarkEnd w:id="2"/>
    <w:p w14:paraId="00AC8D1B" w14:textId="1AC927F7" w:rsidR="00D25D1C" w:rsidRPr="007363C7" w:rsidRDefault="00BE7BB8" w:rsidP="00C521EE">
      <w:pPr>
        <w:autoSpaceDE w:val="0"/>
        <w:autoSpaceDN w:val="0"/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r>
        <w:rPr>
          <w:rFonts w:ascii="Arial" w:hAnsi="宋体" w:cs="Arial" w:hint="eastAsia"/>
          <w:kern w:val="0"/>
          <w:sz w:val="24"/>
          <w:szCs w:val="24"/>
        </w:rPr>
        <w:t>3</w:t>
      </w:r>
      <w:r>
        <w:rPr>
          <w:rFonts w:ascii="Arial" w:hAnsi="宋体" w:cs="Arial" w:hint="eastAsia"/>
          <w:kern w:val="0"/>
          <w:sz w:val="24"/>
          <w:szCs w:val="24"/>
        </w:rPr>
        <w:t>、</w:t>
      </w:r>
      <w:r w:rsidR="00D25D1C" w:rsidRPr="00D25D1C">
        <w:rPr>
          <w:rFonts w:ascii="Arial" w:hAnsi="宋体" w:cs="Arial" w:hint="eastAsia"/>
          <w:kern w:val="0"/>
          <w:sz w:val="24"/>
          <w:szCs w:val="24"/>
        </w:rPr>
        <w:t>根据证监会鼓励上市公司实施现金分红，给予投资者稳定合理回报的指导意见，为切实维护股东利益，公司在充分</w:t>
      </w:r>
      <w:proofErr w:type="gramStart"/>
      <w:r w:rsidR="00D25D1C" w:rsidRPr="00D25D1C">
        <w:rPr>
          <w:rFonts w:ascii="Arial" w:hAnsi="宋体" w:cs="Arial" w:hint="eastAsia"/>
          <w:kern w:val="0"/>
          <w:sz w:val="24"/>
          <w:szCs w:val="24"/>
        </w:rPr>
        <w:t>考量</w:t>
      </w:r>
      <w:proofErr w:type="gramEnd"/>
      <w:r w:rsidR="00D25D1C" w:rsidRPr="00D25D1C">
        <w:rPr>
          <w:rFonts w:ascii="Arial" w:hAnsi="宋体" w:cs="Arial" w:hint="eastAsia"/>
          <w:kern w:val="0"/>
          <w:sz w:val="24"/>
          <w:szCs w:val="24"/>
        </w:rPr>
        <w:t>经营发展现状、未来资金需求，保障正常生产经营及长远发展的前提下，根据《公司章程》规定的利润分配原则，拟定公司</w:t>
      </w:r>
      <w:r w:rsidR="00D25D1C" w:rsidRPr="00D25D1C">
        <w:rPr>
          <w:rFonts w:ascii="Arial" w:hAnsi="宋体" w:cs="Arial" w:hint="eastAsia"/>
          <w:kern w:val="0"/>
          <w:sz w:val="24"/>
          <w:szCs w:val="24"/>
        </w:rPr>
        <w:t>2025</w:t>
      </w:r>
      <w:r w:rsidR="00D25D1C" w:rsidRPr="00D25D1C">
        <w:rPr>
          <w:rFonts w:ascii="Arial" w:hAnsi="宋体" w:cs="Arial" w:hint="eastAsia"/>
          <w:kern w:val="0"/>
          <w:sz w:val="24"/>
          <w:szCs w:val="24"/>
        </w:rPr>
        <w:t>年度利润分配预案</w:t>
      </w:r>
      <w:r w:rsidR="00C521EE">
        <w:rPr>
          <w:rFonts w:ascii="Arial" w:hAnsi="宋体" w:cs="Arial" w:hint="eastAsia"/>
          <w:kern w:val="0"/>
          <w:sz w:val="24"/>
          <w:szCs w:val="24"/>
        </w:rPr>
        <w:t>为</w:t>
      </w:r>
      <w:r w:rsidR="00D25D1C" w:rsidRPr="00D25D1C">
        <w:rPr>
          <w:rFonts w:ascii="Arial" w:hAnsi="宋体" w:cs="Arial" w:hint="eastAsia"/>
          <w:kern w:val="0"/>
          <w:sz w:val="24"/>
          <w:szCs w:val="24"/>
        </w:rPr>
        <w:t>：</w:t>
      </w:r>
      <w:r w:rsidR="008F40A5">
        <w:rPr>
          <w:rFonts w:ascii="Arial" w:hAnsi="宋体" w:cs="Arial" w:hint="eastAsia"/>
          <w:kern w:val="0"/>
          <w:sz w:val="24"/>
          <w:szCs w:val="24"/>
        </w:rPr>
        <w:t>以公司</w:t>
      </w:r>
      <w:r w:rsidR="00D25D1C">
        <w:rPr>
          <w:rFonts w:ascii="Arial" w:hAnsi="宋体" w:cs="Arial" w:hint="eastAsia"/>
          <w:kern w:val="0"/>
          <w:sz w:val="24"/>
          <w:szCs w:val="24"/>
        </w:rPr>
        <w:t>2025</w:t>
      </w:r>
      <w:r w:rsidR="00D25D1C">
        <w:rPr>
          <w:rFonts w:ascii="Arial" w:hAnsi="宋体" w:cs="Arial" w:hint="eastAsia"/>
          <w:kern w:val="0"/>
          <w:sz w:val="24"/>
          <w:szCs w:val="24"/>
        </w:rPr>
        <w:t>年</w:t>
      </w:r>
      <w:r w:rsidR="00D25D1C">
        <w:rPr>
          <w:rFonts w:ascii="Arial" w:hAnsi="宋体" w:cs="Arial" w:hint="eastAsia"/>
          <w:kern w:val="0"/>
          <w:sz w:val="24"/>
          <w:szCs w:val="24"/>
        </w:rPr>
        <w:t>12</w:t>
      </w:r>
      <w:r w:rsidR="00D25D1C">
        <w:rPr>
          <w:rFonts w:ascii="Arial" w:hAnsi="宋体" w:cs="Arial" w:hint="eastAsia"/>
          <w:kern w:val="0"/>
          <w:sz w:val="24"/>
          <w:szCs w:val="24"/>
        </w:rPr>
        <w:t>月</w:t>
      </w:r>
      <w:r w:rsidR="00D25D1C">
        <w:rPr>
          <w:rFonts w:ascii="Arial" w:hAnsi="宋体" w:cs="Arial" w:hint="eastAsia"/>
          <w:kern w:val="0"/>
          <w:sz w:val="24"/>
          <w:szCs w:val="24"/>
        </w:rPr>
        <w:t>31</w:t>
      </w:r>
      <w:r w:rsidR="00D25D1C">
        <w:rPr>
          <w:rFonts w:ascii="Arial" w:hAnsi="宋体" w:cs="Arial" w:hint="eastAsia"/>
          <w:kern w:val="0"/>
          <w:sz w:val="24"/>
          <w:szCs w:val="24"/>
        </w:rPr>
        <w:t>日</w:t>
      </w:r>
      <w:r w:rsidR="008F40A5">
        <w:rPr>
          <w:rFonts w:ascii="Arial" w:hAnsi="宋体" w:cs="Arial" w:hint="eastAsia"/>
          <w:kern w:val="0"/>
          <w:sz w:val="24"/>
          <w:szCs w:val="24"/>
        </w:rPr>
        <w:t>总股本</w:t>
      </w:r>
      <w:r w:rsidR="008F40A5">
        <w:rPr>
          <w:rFonts w:ascii="Arial" w:hAnsi="宋体" w:cs="Arial" w:hint="eastAsia"/>
          <w:kern w:val="0"/>
          <w:sz w:val="24"/>
          <w:szCs w:val="24"/>
        </w:rPr>
        <w:t>24</w:t>
      </w:r>
      <w:r w:rsidR="008F40A5">
        <w:rPr>
          <w:rFonts w:ascii="Arial" w:hAnsi="宋体" w:cs="Arial"/>
          <w:kern w:val="0"/>
          <w:sz w:val="24"/>
          <w:szCs w:val="24"/>
        </w:rPr>
        <w:t>6</w:t>
      </w:r>
      <w:r w:rsidR="008F40A5">
        <w:rPr>
          <w:rFonts w:ascii="Arial" w:hAnsi="宋体" w:cs="Arial" w:hint="eastAsia"/>
          <w:kern w:val="0"/>
          <w:sz w:val="24"/>
          <w:szCs w:val="24"/>
        </w:rPr>
        <w:t>,</w:t>
      </w:r>
      <w:r w:rsidR="008F40A5">
        <w:rPr>
          <w:rFonts w:ascii="Arial" w:hAnsi="宋体" w:cs="Arial"/>
          <w:kern w:val="0"/>
          <w:sz w:val="24"/>
          <w:szCs w:val="24"/>
        </w:rPr>
        <w:t>790</w:t>
      </w:r>
      <w:r w:rsidR="008F40A5">
        <w:rPr>
          <w:rFonts w:ascii="Arial" w:hAnsi="宋体" w:cs="Arial" w:hint="eastAsia"/>
          <w:kern w:val="0"/>
          <w:sz w:val="24"/>
          <w:szCs w:val="24"/>
        </w:rPr>
        <w:t>,497</w:t>
      </w:r>
      <w:r w:rsidR="008F40A5">
        <w:rPr>
          <w:rFonts w:ascii="Arial" w:hAnsi="宋体" w:cs="Arial" w:hint="eastAsia"/>
          <w:kern w:val="0"/>
          <w:sz w:val="24"/>
          <w:szCs w:val="24"/>
        </w:rPr>
        <w:t>股为基数，向全体股东每</w:t>
      </w:r>
      <w:r w:rsidR="008F40A5">
        <w:rPr>
          <w:rFonts w:ascii="Arial" w:hAnsi="宋体" w:cs="Arial"/>
          <w:kern w:val="0"/>
          <w:sz w:val="24"/>
          <w:szCs w:val="24"/>
        </w:rPr>
        <w:t>10</w:t>
      </w:r>
      <w:r w:rsidR="008F40A5">
        <w:rPr>
          <w:rFonts w:ascii="Arial" w:hAnsi="宋体" w:cs="Arial" w:hint="eastAsia"/>
          <w:kern w:val="0"/>
          <w:sz w:val="24"/>
          <w:szCs w:val="24"/>
        </w:rPr>
        <w:t>股派发现金股利人民</w:t>
      </w:r>
      <w:r w:rsidR="008F40A5" w:rsidRPr="00223F9B">
        <w:rPr>
          <w:rFonts w:ascii="Arial" w:hAnsi="宋体" w:cs="Arial" w:hint="eastAsia"/>
          <w:kern w:val="0"/>
          <w:sz w:val="24"/>
          <w:szCs w:val="24"/>
        </w:rPr>
        <w:t>币</w:t>
      </w:r>
      <w:r w:rsidR="0054241C" w:rsidRPr="00223F9B">
        <w:rPr>
          <w:rFonts w:ascii="Arial" w:hAnsi="宋体" w:cs="Arial" w:hint="eastAsia"/>
          <w:kern w:val="0"/>
          <w:sz w:val="24"/>
          <w:szCs w:val="24"/>
        </w:rPr>
        <w:t>0.</w:t>
      </w:r>
      <w:r w:rsidR="0054241C" w:rsidRPr="00223F9B">
        <w:rPr>
          <w:rFonts w:ascii="Arial" w:hAnsi="宋体" w:cs="Arial"/>
          <w:kern w:val="0"/>
          <w:sz w:val="24"/>
          <w:szCs w:val="24"/>
        </w:rPr>
        <w:t>7</w:t>
      </w:r>
      <w:r w:rsidR="008F40A5" w:rsidRPr="00223F9B">
        <w:rPr>
          <w:rFonts w:ascii="Arial" w:hAnsi="宋体" w:cs="Arial" w:hint="eastAsia"/>
          <w:kern w:val="0"/>
          <w:sz w:val="24"/>
          <w:szCs w:val="24"/>
        </w:rPr>
        <w:t>0</w:t>
      </w:r>
      <w:r w:rsidR="008F40A5" w:rsidRPr="00223F9B">
        <w:rPr>
          <w:rFonts w:ascii="Arial" w:hAnsi="宋体" w:cs="Arial" w:hint="eastAsia"/>
          <w:kern w:val="0"/>
          <w:sz w:val="24"/>
          <w:szCs w:val="24"/>
        </w:rPr>
        <w:t>元（含税），合计派发现金股利人民币</w:t>
      </w:r>
      <w:r w:rsidR="0054241C" w:rsidRPr="00223F9B">
        <w:rPr>
          <w:rFonts w:ascii="Arial" w:hAnsi="宋体" w:cs="Arial"/>
          <w:kern w:val="0"/>
          <w:sz w:val="24"/>
          <w:szCs w:val="24"/>
        </w:rPr>
        <w:t>17,275,334.79</w:t>
      </w:r>
      <w:r w:rsidR="008F40A5" w:rsidRPr="00223F9B">
        <w:rPr>
          <w:rFonts w:ascii="Arial" w:hAnsi="宋体" w:cs="Arial" w:hint="eastAsia"/>
          <w:kern w:val="0"/>
          <w:sz w:val="24"/>
          <w:szCs w:val="24"/>
        </w:rPr>
        <w:t>元（含税），</w:t>
      </w:r>
      <w:r w:rsidR="00D25D1C" w:rsidRPr="00223F9B">
        <w:rPr>
          <w:rFonts w:ascii="Arial" w:hAnsi="宋体" w:cs="Arial" w:hint="eastAsia"/>
          <w:kern w:val="0"/>
          <w:sz w:val="24"/>
          <w:szCs w:val="24"/>
        </w:rPr>
        <w:t>剩余未分配</w:t>
      </w:r>
      <w:r w:rsidR="00D25D1C">
        <w:rPr>
          <w:rFonts w:ascii="Arial" w:hAnsi="宋体" w:cs="Arial" w:hint="eastAsia"/>
          <w:kern w:val="0"/>
          <w:sz w:val="24"/>
          <w:szCs w:val="24"/>
        </w:rPr>
        <w:t>利润结转以后年度，本年度</w:t>
      </w:r>
      <w:r w:rsidR="00D25D1C" w:rsidRPr="0040518F">
        <w:rPr>
          <w:rFonts w:ascii="Arial" w:cs="Arial"/>
          <w:sz w:val="24"/>
          <w:szCs w:val="24"/>
        </w:rPr>
        <w:t>不送红股，不以资本公积金转增股本</w:t>
      </w:r>
      <w:r w:rsidR="00D25D1C">
        <w:rPr>
          <w:rFonts w:ascii="Arial" w:hAnsi="宋体" w:cs="Arial" w:hint="eastAsia"/>
          <w:kern w:val="0"/>
          <w:sz w:val="24"/>
          <w:szCs w:val="24"/>
        </w:rPr>
        <w:t>。</w:t>
      </w:r>
    </w:p>
    <w:p w14:paraId="06D6F92D" w14:textId="1021241C" w:rsidR="00BE7BB8" w:rsidRDefault="00BE7BB8" w:rsidP="00C521EE">
      <w:pPr>
        <w:autoSpaceDE w:val="0"/>
        <w:autoSpaceDN w:val="0"/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r w:rsidRPr="00223F9B">
        <w:rPr>
          <w:rFonts w:ascii="Arial" w:hAnsi="宋体" w:cs="Arial" w:hint="eastAsia"/>
          <w:kern w:val="0"/>
          <w:sz w:val="24"/>
          <w:szCs w:val="24"/>
        </w:rPr>
        <w:t>4</w:t>
      </w:r>
      <w:r w:rsidRPr="00223F9B">
        <w:rPr>
          <w:rFonts w:ascii="Arial" w:hAnsi="宋体" w:cs="Arial" w:hint="eastAsia"/>
          <w:kern w:val="0"/>
          <w:sz w:val="24"/>
          <w:szCs w:val="24"/>
        </w:rPr>
        <w:t>、</w:t>
      </w:r>
      <w:r w:rsidRPr="00223F9B">
        <w:rPr>
          <w:rFonts w:ascii="Arial" w:hAnsi="宋体" w:cs="Arial" w:hint="eastAsia"/>
          <w:kern w:val="0"/>
          <w:sz w:val="24"/>
          <w:szCs w:val="24"/>
        </w:rPr>
        <w:t>2</w:t>
      </w:r>
      <w:r w:rsidRPr="00223F9B">
        <w:rPr>
          <w:rFonts w:ascii="Arial" w:hAnsi="宋体" w:cs="Arial"/>
          <w:kern w:val="0"/>
          <w:sz w:val="24"/>
          <w:szCs w:val="24"/>
        </w:rPr>
        <w:t>025</w:t>
      </w:r>
      <w:r w:rsidRPr="00223F9B">
        <w:rPr>
          <w:rFonts w:ascii="Arial" w:hAnsi="宋体" w:cs="Arial"/>
          <w:kern w:val="0"/>
          <w:sz w:val="24"/>
          <w:szCs w:val="24"/>
        </w:rPr>
        <w:t>年度，公司股份回购金额为</w:t>
      </w:r>
      <w:r w:rsidRPr="00223F9B">
        <w:rPr>
          <w:rFonts w:ascii="Arial" w:hAnsi="宋体" w:cs="Arial" w:hint="eastAsia"/>
          <w:kern w:val="0"/>
          <w:sz w:val="24"/>
          <w:szCs w:val="24"/>
        </w:rPr>
        <w:t>0</w:t>
      </w:r>
      <w:r w:rsidRPr="00223F9B">
        <w:rPr>
          <w:rFonts w:ascii="Arial" w:hAnsi="宋体" w:cs="Arial" w:hint="eastAsia"/>
          <w:kern w:val="0"/>
          <w:sz w:val="24"/>
          <w:szCs w:val="24"/>
        </w:rPr>
        <w:t>元，本年度预计累计现金分红</w:t>
      </w:r>
      <w:r w:rsidR="009109DD" w:rsidRPr="00223F9B">
        <w:rPr>
          <w:rFonts w:ascii="Arial" w:hAnsi="宋体" w:cs="Arial" w:hint="eastAsia"/>
          <w:kern w:val="0"/>
          <w:sz w:val="24"/>
          <w:szCs w:val="24"/>
        </w:rPr>
        <w:t>金额为</w:t>
      </w:r>
      <w:r w:rsidR="0054241C" w:rsidRPr="00223F9B">
        <w:rPr>
          <w:rFonts w:ascii="Arial" w:hAnsi="宋体" w:cs="Arial"/>
          <w:kern w:val="0"/>
          <w:sz w:val="24"/>
          <w:szCs w:val="24"/>
        </w:rPr>
        <w:t>17,275,334.79</w:t>
      </w:r>
      <w:r w:rsidR="009109DD" w:rsidRPr="00223F9B">
        <w:rPr>
          <w:rFonts w:ascii="Arial" w:hAnsi="宋体" w:cs="Arial" w:hint="eastAsia"/>
          <w:kern w:val="0"/>
          <w:sz w:val="24"/>
          <w:szCs w:val="24"/>
        </w:rPr>
        <w:t>元（含税），占本年度合并报表中归属上市公司股东的净利润比例为</w:t>
      </w:r>
      <w:r w:rsidR="0054241C" w:rsidRPr="00223F9B">
        <w:rPr>
          <w:rFonts w:ascii="Arial" w:hAnsi="宋体" w:cs="Arial"/>
          <w:kern w:val="0"/>
          <w:sz w:val="24"/>
          <w:szCs w:val="24"/>
        </w:rPr>
        <w:t>31.92%</w:t>
      </w:r>
      <w:r w:rsidR="009109DD" w:rsidRPr="00223F9B">
        <w:rPr>
          <w:rFonts w:ascii="Arial" w:hAnsi="宋体" w:cs="Arial"/>
          <w:kern w:val="0"/>
          <w:sz w:val="24"/>
          <w:szCs w:val="24"/>
        </w:rPr>
        <w:t>。</w:t>
      </w:r>
    </w:p>
    <w:p w14:paraId="06774671" w14:textId="5273AE66" w:rsidR="00C7616D" w:rsidRDefault="00BE7BB8" w:rsidP="00C521EE">
      <w:pPr>
        <w:autoSpaceDE w:val="0"/>
        <w:autoSpaceDN w:val="0"/>
        <w:spacing w:beforeLines="25" w:before="78" w:line="360" w:lineRule="auto"/>
        <w:ind w:firstLineChars="200" w:firstLine="480"/>
        <w:rPr>
          <w:rFonts w:ascii="Arial" w:hAnsi="宋体" w:cs="Arial"/>
          <w:kern w:val="0"/>
          <w:sz w:val="24"/>
          <w:szCs w:val="24"/>
        </w:rPr>
      </w:pPr>
      <w:r>
        <w:rPr>
          <w:rFonts w:ascii="Arial" w:hAnsi="宋体" w:cs="Arial" w:hint="eastAsia"/>
          <w:kern w:val="0"/>
          <w:sz w:val="24"/>
          <w:szCs w:val="24"/>
        </w:rPr>
        <w:t>5</w:t>
      </w:r>
      <w:r>
        <w:rPr>
          <w:rFonts w:ascii="Arial" w:hAnsi="宋体" w:cs="Arial" w:hint="eastAsia"/>
          <w:kern w:val="0"/>
          <w:sz w:val="24"/>
          <w:szCs w:val="24"/>
        </w:rPr>
        <w:t>、</w:t>
      </w:r>
      <w:r w:rsidR="008F40A5">
        <w:rPr>
          <w:rFonts w:ascii="Arial" w:hAnsi="宋体" w:cs="Arial" w:hint="eastAsia"/>
          <w:kern w:val="0"/>
          <w:sz w:val="24"/>
          <w:szCs w:val="24"/>
        </w:rPr>
        <w:t>在</w:t>
      </w:r>
      <w:proofErr w:type="gramStart"/>
      <w:r w:rsidR="008F40A5">
        <w:rPr>
          <w:rFonts w:ascii="Arial" w:hAnsi="宋体" w:cs="Arial" w:hint="eastAsia"/>
          <w:kern w:val="0"/>
          <w:sz w:val="24"/>
          <w:szCs w:val="24"/>
        </w:rPr>
        <w:t>本利润</w:t>
      </w:r>
      <w:proofErr w:type="gramEnd"/>
      <w:r w:rsidR="008F40A5">
        <w:rPr>
          <w:rFonts w:ascii="Arial" w:hAnsi="宋体" w:cs="Arial" w:hint="eastAsia"/>
          <w:kern w:val="0"/>
          <w:sz w:val="24"/>
          <w:szCs w:val="24"/>
        </w:rPr>
        <w:t>分配预案披露日至实施权益分派股权登记日期间，如公司股本总额发生变动的，将</w:t>
      </w:r>
      <w:r w:rsidR="009018D1">
        <w:rPr>
          <w:rFonts w:ascii="Arial" w:hAnsi="宋体" w:cs="Arial" w:hint="eastAsia"/>
          <w:kern w:val="0"/>
          <w:sz w:val="24"/>
          <w:szCs w:val="24"/>
        </w:rPr>
        <w:t>按照现金</w:t>
      </w:r>
      <w:r w:rsidR="008F40A5">
        <w:rPr>
          <w:rFonts w:ascii="Arial" w:hAnsi="宋体" w:cs="Arial" w:hint="eastAsia"/>
          <w:kern w:val="0"/>
          <w:sz w:val="24"/>
          <w:szCs w:val="24"/>
        </w:rPr>
        <w:t>分配总额不变的原则对分配比例进行</w:t>
      </w:r>
      <w:r w:rsidR="009018D1">
        <w:rPr>
          <w:rFonts w:ascii="Arial" w:hAnsi="宋体" w:cs="Arial" w:hint="eastAsia"/>
          <w:kern w:val="0"/>
          <w:sz w:val="24"/>
          <w:szCs w:val="24"/>
        </w:rPr>
        <w:t>相应</w:t>
      </w:r>
      <w:r w:rsidR="008F40A5">
        <w:rPr>
          <w:rFonts w:ascii="Arial" w:hAnsi="宋体" w:cs="Arial" w:hint="eastAsia"/>
          <w:kern w:val="0"/>
          <w:sz w:val="24"/>
          <w:szCs w:val="24"/>
        </w:rPr>
        <w:t>调整。</w:t>
      </w:r>
    </w:p>
    <w:p w14:paraId="01CE4D93" w14:textId="1F8A3B7E" w:rsidR="00C7616D" w:rsidRPr="00C521EE" w:rsidRDefault="009109DD" w:rsidP="00C521EE">
      <w:pPr>
        <w:spacing w:beforeLines="50" w:before="156" w:line="360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 w:rsidRPr="00C521EE">
        <w:rPr>
          <w:rFonts w:ascii="Arial" w:cs="Arial" w:hint="eastAsia"/>
          <w:b/>
          <w:sz w:val="24"/>
          <w:szCs w:val="24"/>
        </w:rPr>
        <w:lastRenderedPageBreak/>
        <w:t>三、现金分红方案的具体情况</w:t>
      </w:r>
    </w:p>
    <w:p w14:paraId="4741BF27" w14:textId="77777777" w:rsidR="009109DD" w:rsidRDefault="009109DD" w:rsidP="0054241C">
      <w:pPr>
        <w:spacing w:beforeLines="25" w:before="78" w:line="348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9109DD">
        <w:rPr>
          <w:rFonts w:ascii="Arial" w:hAnsi="宋体" w:cs="Arial"/>
          <w:b/>
          <w:kern w:val="0"/>
          <w:sz w:val="24"/>
          <w:szCs w:val="24"/>
        </w:rPr>
        <w:t>（一）是否可能触及其他风险警示情形</w:t>
      </w:r>
    </w:p>
    <w:p w14:paraId="40E31B15" w14:textId="3AF65D77" w:rsidR="0054241C" w:rsidRPr="009109DD" w:rsidRDefault="009109DD" w:rsidP="00D703E9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 w:rsidRPr="009109DD">
        <w:rPr>
          <w:rFonts w:ascii="Arial" w:cs="Arial"/>
          <w:sz w:val="24"/>
          <w:szCs w:val="24"/>
        </w:rPr>
        <w:t>1</w:t>
      </w:r>
      <w:r w:rsidR="00353D01">
        <w:rPr>
          <w:rFonts w:ascii="Arial" w:cs="Arial"/>
          <w:sz w:val="24"/>
          <w:szCs w:val="24"/>
        </w:rPr>
        <w:t>、</w:t>
      </w:r>
      <w:r w:rsidRPr="009109DD">
        <w:rPr>
          <w:rFonts w:ascii="Arial" w:cs="Arial"/>
          <w:sz w:val="24"/>
          <w:szCs w:val="24"/>
        </w:rPr>
        <w:t>上市公司披露年度现金分红方案（含不分红）的，应当列示下列指标：</w:t>
      </w:r>
    </w:p>
    <w:tbl>
      <w:tblPr>
        <w:tblW w:w="89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033"/>
        <w:gridCol w:w="2126"/>
        <w:gridCol w:w="2037"/>
      </w:tblGrid>
      <w:tr w:rsidR="00145939" w:rsidRPr="0061703E" w14:paraId="0EF7BA0C" w14:textId="77777777" w:rsidTr="00223F9B">
        <w:trPr>
          <w:trHeight w:val="425"/>
          <w:jc w:val="center"/>
        </w:trPr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6D511F66" w14:textId="77777777" w:rsidR="009109DD" w:rsidRPr="0061703E" w:rsidRDefault="009109DD" w:rsidP="0061703E">
            <w:pPr>
              <w:jc w:val="center"/>
              <w:rPr>
                <w:rFonts w:ascii="Arial" w:cs="Arial"/>
                <w:b/>
                <w:szCs w:val="21"/>
              </w:rPr>
            </w:pPr>
            <w:r w:rsidRPr="0061703E">
              <w:rPr>
                <w:rFonts w:ascii="Arial" w:cs="Arial"/>
                <w:b/>
                <w:szCs w:val="21"/>
              </w:rPr>
              <w:t>项目</w:t>
            </w:r>
          </w:p>
        </w:tc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5C2E831D" w14:textId="77777777" w:rsidR="009109DD" w:rsidRPr="0061703E" w:rsidRDefault="009109DD" w:rsidP="0061703E">
            <w:pPr>
              <w:jc w:val="center"/>
              <w:rPr>
                <w:rFonts w:ascii="Arial" w:cs="Arial"/>
                <w:b/>
                <w:szCs w:val="21"/>
              </w:rPr>
            </w:pPr>
            <w:r w:rsidRPr="0061703E">
              <w:rPr>
                <w:rFonts w:ascii="Arial" w:cs="Arial"/>
                <w:b/>
                <w:szCs w:val="21"/>
              </w:rPr>
              <w:t>本年度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68E17F" w14:textId="77777777" w:rsidR="009109DD" w:rsidRPr="0061703E" w:rsidRDefault="009109DD" w:rsidP="0061703E">
            <w:pPr>
              <w:jc w:val="center"/>
              <w:rPr>
                <w:rFonts w:ascii="Arial" w:cs="Arial"/>
                <w:b/>
                <w:szCs w:val="21"/>
              </w:rPr>
            </w:pPr>
            <w:r w:rsidRPr="0061703E">
              <w:rPr>
                <w:rFonts w:ascii="Arial" w:cs="Arial"/>
                <w:b/>
                <w:szCs w:val="21"/>
              </w:rPr>
              <w:t>上年度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759FCFE7" w14:textId="77777777" w:rsidR="009109DD" w:rsidRPr="0061703E" w:rsidRDefault="009109DD" w:rsidP="0061703E">
            <w:pPr>
              <w:jc w:val="center"/>
              <w:rPr>
                <w:rFonts w:ascii="Arial" w:cs="Arial"/>
                <w:b/>
                <w:szCs w:val="21"/>
              </w:rPr>
            </w:pPr>
            <w:r w:rsidRPr="0061703E">
              <w:rPr>
                <w:rFonts w:ascii="Arial" w:cs="Arial"/>
                <w:b/>
                <w:szCs w:val="21"/>
              </w:rPr>
              <w:t>上上年度</w:t>
            </w:r>
          </w:p>
        </w:tc>
      </w:tr>
      <w:tr w:rsidR="00145939" w:rsidRPr="0061703E" w14:paraId="2405B943" w14:textId="77777777" w:rsidTr="00223F9B">
        <w:trPr>
          <w:trHeight w:val="425"/>
          <w:jc w:val="center"/>
        </w:trPr>
        <w:tc>
          <w:tcPr>
            <w:tcW w:w="2756" w:type="dxa"/>
            <w:vAlign w:val="center"/>
          </w:tcPr>
          <w:p w14:paraId="50A90BD7" w14:textId="77777777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现金分红总额（元）</w:t>
            </w:r>
          </w:p>
        </w:tc>
        <w:tc>
          <w:tcPr>
            <w:tcW w:w="2033" w:type="dxa"/>
            <w:vAlign w:val="center"/>
          </w:tcPr>
          <w:p w14:paraId="00381AC4" w14:textId="3F7C4EFC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17,275,334.79</w:t>
            </w:r>
          </w:p>
        </w:tc>
        <w:tc>
          <w:tcPr>
            <w:tcW w:w="2126" w:type="dxa"/>
            <w:vAlign w:val="center"/>
          </w:tcPr>
          <w:p w14:paraId="036774A6" w14:textId="1EEEEC58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22,211,144.73</w:t>
            </w:r>
          </w:p>
        </w:tc>
        <w:tc>
          <w:tcPr>
            <w:tcW w:w="2037" w:type="dxa"/>
            <w:vAlign w:val="center"/>
          </w:tcPr>
          <w:p w14:paraId="32F2B490" w14:textId="4EEDBACB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24,361,849.70</w:t>
            </w:r>
          </w:p>
        </w:tc>
      </w:tr>
      <w:tr w:rsidR="009109DD" w:rsidRPr="0061703E" w14:paraId="27FB981A" w14:textId="77777777" w:rsidTr="00223F9B">
        <w:trPr>
          <w:trHeight w:val="425"/>
          <w:jc w:val="center"/>
        </w:trPr>
        <w:tc>
          <w:tcPr>
            <w:tcW w:w="2756" w:type="dxa"/>
            <w:vAlign w:val="center"/>
          </w:tcPr>
          <w:p w14:paraId="0AA114CD" w14:textId="77777777" w:rsidR="009109DD" w:rsidRPr="0061703E" w:rsidRDefault="009109DD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回购注销总额（元）</w:t>
            </w:r>
          </w:p>
        </w:tc>
        <w:tc>
          <w:tcPr>
            <w:tcW w:w="2033" w:type="dxa"/>
            <w:vAlign w:val="center"/>
          </w:tcPr>
          <w:p w14:paraId="60A7A2F2" w14:textId="3A9528E3" w:rsidR="009109DD" w:rsidRPr="0061703E" w:rsidRDefault="002C0A9A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14:paraId="1A231564" w14:textId="074E52C0" w:rsidR="009109DD" w:rsidRPr="0061703E" w:rsidRDefault="002C0A9A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 w:hint="eastAsia"/>
                <w:szCs w:val="21"/>
              </w:rPr>
              <w:t>0</w:t>
            </w:r>
          </w:p>
        </w:tc>
        <w:tc>
          <w:tcPr>
            <w:tcW w:w="2037" w:type="dxa"/>
            <w:vAlign w:val="center"/>
          </w:tcPr>
          <w:p w14:paraId="4EF855AC" w14:textId="62C951C3" w:rsidR="009109DD" w:rsidRPr="0061703E" w:rsidRDefault="002C0A9A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 w:hint="eastAsia"/>
                <w:szCs w:val="21"/>
              </w:rPr>
              <w:t>0</w:t>
            </w:r>
          </w:p>
        </w:tc>
      </w:tr>
      <w:tr w:rsidR="00353D01" w:rsidRPr="0061703E" w14:paraId="754E6029" w14:textId="77777777" w:rsidTr="00223F9B">
        <w:trPr>
          <w:trHeight w:val="425"/>
          <w:jc w:val="center"/>
        </w:trPr>
        <w:tc>
          <w:tcPr>
            <w:tcW w:w="2756" w:type="dxa"/>
            <w:vAlign w:val="center"/>
          </w:tcPr>
          <w:p w14:paraId="7A06F782" w14:textId="28A5D5F0" w:rsidR="00353D01" w:rsidRPr="0061703E" w:rsidRDefault="00353D01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归属于上市公司股东的净利润（元）</w:t>
            </w:r>
          </w:p>
        </w:tc>
        <w:tc>
          <w:tcPr>
            <w:tcW w:w="2033" w:type="dxa"/>
            <w:vAlign w:val="center"/>
          </w:tcPr>
          <w:p w14:paraId="78521CCD" w14:textId="1082322B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54,113,848.48</w:t>
            </w:r>
          </w:p>
        </w:tc>
        <w:tc>
          <w:tcPr>
            <w:tcW w:w="2126" w:type="dxa"/>
            <w:vAlign w:val="center"/>
          </w:tcPr>
          <w:p w14:paraId="0127D7F1" w14:textId="6DCB55B0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68,398,464.80</w:t>
            </w:r>
          </w:p>
        </w:tc>
        <w:tc>
          <w:tcPr>
            <w:tcW w:w="2037" w:type="dxa"/>
            <w:vAlign w:val="center"/>
          </w:tcPr>
          <w:p w14:paraId="7093E894" w14:textId="2CA33860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64,122,164.69</w:t>
            </w:r>
          </w:p>
        </w:tc>
      </w:tr>
      <w:tr w:rsidR="00353D01" w:rsidRPr="0061703E" w14:paraId="70011CDA" w14:textId="77777777" w:rsidTr="00223F9B">
        <w:trPr>
          <w:trHeight w:val="425"/>
          <w:jc w:val="center"/>
        </w:trPr>
        <w:tc>
          <w:tcPr>
            <w:tcW w:w="2756" w:type="dxa"/>
            <w:vAlign w:val="center"/>
          </w:tcPr>
          <w:p w14:paraId="5ACC0DF0" w14:textId="77777777" w:rsidR="00353D01" w:rsidRPr="0061703E" w:rsidRDefault="00353D01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研发投入（元）</w:t>
            </w:r>
          </w:p>
        </w:tc>
        <w:tc>
          <w:tcPr>
            <w:tcW w:w="2033" w:type="dxa"/>
            <w:vAlign w:val="center"/>
          </w:tcPr>
          <w:p w14:paraId="613F9291" w14:textId="0CB68309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59,981,225.11</w:t>
            </w:r>
          </w:p>
        </w:tc>
        <w:tc>
          <w:tcPr>
            <w:tcW w:w="2126" w:type="dxa"/>
            <w:vAlign w:val="center"/>
          </w:tcPr>
          <w:p w14:paraId="5EE6B178" w14:textId="50CDA0AC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71,805,781.38</w:t>
            </w:r>
          </w:p>
        </w:tc>
        <w:tc>
          <w:tcPr>
            <w:tcW w:w="2037" w:type="dxa"/>
            <w:vAlign w:val="center"/>
          </w:tcPr>
          <w:p w14:paraId="53333EE8" w14:textId="7B99CD5C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71,511,685.69</w:t>
            </w:r>
          </w:p>
        </w:tc>
      </w:tr>
      <w:tr w:rsidR="00353D01" w:rsidRPr="0061703E" w14:paraId="53D689DF" w14:textId="77777777" w:rsidTr="00223F9B">
        <w:trPr>
          <w:trHeight w:val="425"/>
          <w:jc w:val="center"/>
        </w:trPr>
        <w:tc>
          <w:tcPr>
            <w:tcW w:w="2756" w:type="dxa"/>
            <w:vAlign w:val="center"/>
          </w:tcPr>
          <w:p w14:paraId="75BCB77A" w14:textId="77777777" w:rsidR="00353D01" w:rsidRPr="0061703E" w:rsidRDefault="00353D01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营业收入（元）</w:t>
            </w:r>
          </w:p>
        </w:tc>
        <w:tc>
          <w:tcPr>
            <w:tcW w:w="2033" w:type="dxa"/>
            <w:vAlign w:val="center"/>
          </w:tcPr>
          <w:p w14:paraId="63D7ACE4" w14:textId="56682B52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1,385,084,574.67</w:t>
            </w:r>
          </w:p>
        </w:tc>
        <w:tc>
          <w:tcPr>
            <w:tcW w:w="2126" w:type="dxa"/>
            <w:vAlign w:val="center"/>
          </w:tcPr>
          <w:p w14:paraId="6410A47B" w14:textId="7552CE04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1,705,674,597.38</w:t>
            </w:r>
          </w:p>
        </w:tc>
        <w:tc>
          <w:tcPr>
            <w:tcW w:w="2037" w:type="dxa"/>
            <w:vAlign w:val="center"/>
          </w:tcPr>
          <w:p w14:paraId="6D82F3F9" w14:textId="04B65882" w:rsidR="00353D01" w:rsidRPr="0061703E" w:rsidRDefault="00353D01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1,705,661,552.14</w:t>
            </w:r>
          </w:p>
        </w:tc>
      </w:tr>
      <w:tr w:rsidR="00145939" w:rsidRPr="0061703E" w14:paraId="1B91FE7C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687417EF" w14:textId="25C7AD34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合并报表本年度末累计未分配利润（元）</w:t>
            </w:r>
          </w:p>
        </w:tc>
        <w:tc>
          <w:tcPr>
            <w:tcW w:w="6196" w:type="dxa"/>
            <w:gridSpan w:val="3"/>
            <w:vAlign w:val="center"/>
          </w:tcPr>
          <w:p w14:paraId="48C7298E" w14:textId="51D4C795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285,600,597.51</w:t>
            </w:r>
          </w:p>
        </w:tc>
      </w:tr>
      <w:tr w:rsidR="00145939" w:rsidRPr="0061703E" w14:paraId="7F4A4E3B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4ADCA2FA" w14:textId="370B8A3F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母公司报表本年度末累计未分配利润（元）</w:t>
            </w:r>
          </w:p>
        </w:tc>
        <w:tc>
          <w:tcPr>
            <w:tcW w:w="6196" w:type="dxa"/>
            <w:gridSpan w:val="3"/>
            <w:vAlign w:val="center"/>
          </w:tcPr>
          <w:p w14:paraId="0D65390D" w14:textId="6AF98DB9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285,546,090.61</w:t>
            </w:r>
          </w:p>
        </w:tc>
      </w:tr>
      <w:tr w:rsidR="009109DD" w:rsidRPr="0061703E" w14:paraId="3E5A8864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60A83B92" w14:textId="5EB0F2BC" w:rsidR="009109DD" w:rsidRPr="0061703E" w:rsidRDefault="009109DD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上市是否满三个完整会计年度</w:t>
            </w:r>
          </w:p>
        </w:tc>
        <w:tc>
          <w:tcPr>
            <w:tcW w:w="6196" w:type="dxa"/>
            <w:gridSpan w:val="3"/>
            <w:vAlign w:val="center"/>
          </w:tcPr>
          <w:p w14:paraId="31023FE9" w14:textId="455CFDFF" w:rsidR="009109DD" w:rsidRPr="0061703E" w:rsidRDefault="009109DD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是</w:t>
            </w:r>
          </w:p>
        </w:tc>
      </w:tr>
      <w:tr w:rsidR="00145939" w:rsidRPr="0061703E" w14:paraId="63495CDF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322F2764" w14:textId="5CF6B841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最近三个会计年度累计现金分红总额（元）</w:t>
            </w:r>
          </w:p>
        </w:tc>
        <w:tc>
          <w:tcPr>
            <w:tcW w:w="6196" w:type="dxa"/>
            <w:gridSpan w:val="3"/>
            <w:vAlign w:val="center"/>
          </w:tcPr>
          <w:p w14:paraId="5606F09B" w14:textId="1F1BC17C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 xml:space="preserve">63,848,329.22 </w:t>
            </w:r>
          </w:p>
        </w:tc>
      </w:tr>
      <w:tr w:rsidR="00145939" w:rsidRPr="0061703E" w14:paraId="378AA342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107CCCCD" w14:textId="5DC6B985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最近三个会计年度累计回购注销总额（元）</w:t>
            </w:r>
          </w:p>
        </w:tc>
        <w:tc>
          <w:tcPr>
            <w:tcW w:w="6196" w:type="dxa"/>
            <w:gridSpan w:val="3"/>
            <w:vAlign w:val="center"/>
          </w:tcPr>
          <w:p w14:paraId="1EC99CA2" w14:textId="06DA82C0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0</w:t>
            </w:r>
          </w:p>
        </w:tc>
      </w:tr>
      <w:tr w:rsidR="00145939" w:rsidRPr="0061703E" w14:paraId="3DD742EE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5CA5DB7D" w14:textId="7B98E6FE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最近三个会计年度平均净利润（元）</w:t>
            </w:r>
          </w:p>
        </w:tc>
        <w:tc>
          <w:tcPr>
            <w:tcW w:w="6196" w:type="dxa"/>
            <w:gridSpan w:val="3"/>
            <w:vAlign w:val="center"/>
          </w:tcPr>
          <w:p w14:paraId="61E2334F" w14:textId="7E62A322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62</w:t>
            </w:r>
            <w:r w:rsidR="009D67AD">
              <w:rPr>
                <w:rFonts w:ascii="Arial" w:cs="Arial" w:hint="eastAsia"/>
                <w:szCs w:val="21"/>
              </w:rPr>
              <w:t>,</w:t>
            </w:r>
            <w:r w:rsidRPr="0061703E">
              <w:rPr>
                <w:rFonts w:ascii="Arial" w:cs="Arial"/>
                <w:szCs w:val="21"/>
              </w:rPr>
              <w:t>211</w:t>
            </w:r>
            <w:r w:rsidR="009D67AD">
              <w:rPr>
                <w:rFonts w:ascii="Arial" w:cs="Arial" w:hint="eastAsia"/>
                <w:szCs w:val="21"/>
              </w:rPr>
              <w:t>,</w:t>
            </w:r>
            <w:r w:rsidRPr="0061703E">
              <w:rPr>
                <w:rFonts w:ascii="Arial" w:cs="Arial"/>
                <w:szCs w:val="21"/>
              </w:rPr>
              <w:t>492.66</w:t>
            </w:r>
          </w:p>
        </w:tc>
      </w:tr>
      <w:tr w:rsidR="00145939" w:rsidRPr="0061703E" w14:paraId="79FBAC32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62D2C01D" w14:textId="32B4F44A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最近三个会计年度累计现金分红及回购注销总额（元）</w:t>
            </w:r>
          </w:p>
        </w:tc>
        <w:tc>
          <w:tcPr>
            <w:tcW w:w="6196" w:type="dxa"/>
            <w:gridSpan w:val="3"/>
            <w:vAlign w:val="center"/>
          </w:tcPr>
          <w:p w14:paraId="70E7718A" w14:textId="50818271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63,848,329.22</w:t>
            </w:r>
          </w:p>
        </w:tc>
      </w:tr>
      <w:tr w:rsidR="00145939" w:rsidRPr="0061703E" w14:paraId="26671516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4709FE1D" w14:textId="4A550C60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最近三个会计年度累计研发投入总额（元）</w:t>
            </w:r>
          </w:p>
        </w:tc>
        <w:tc>
          <w:tcPr>
            <w:tcW w:w="6196" w:type="dxa"/>
            <w:gridSpan w:val="3"/>
            <w:vAlign w:val="center"/>
          </w:tcPr>
          <w:p w14:paraId="6566736D" w14:textId="1376164D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203,298,692.18</w:t>
            </w:r>
          </w:p>
        </w:tc>
      </w:tr>
      <w:tr w:rsidR="00145939" w:rsidRPr="0061703E" w14:paraId="5A7A3A24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0482A60F" w14:textId="37115EA8" w:rsidR="00145939" w:rsidRPr="0061703E" w:rsidRDefault="00145939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最近三个会计年度累计研发投入总额占累计营业收入的比例（</w:t>
            </w:r>
            <w:r w:rsidRPr="0061703E">
              <w:rPr>
                <w:rFonts w:ascii="Arial" w:hAnsi="宋体" w:cs="Arial"/>
                <w:kern w:val="0"/>
                <w:szCs w:val="21"/>
              </w:rPr>
              <w:t>%</w:t>
            </w:r>
            <w:r w:rsidRPr="0061703E">
              <w:rPr>
                <w:rFonts w:ascii="Arial" w:hAnsi="宋体" w:cs="Arial"/>
                <w:kern w:val="0"/>
                <w:szCs w:val="21"/>
              </w:rPr>
              <w:t>）</w:t>
            </w:r>
          </w:p>
        </w:tc>
        <w:tc>
          <w:tcPr>
            <w:tcW w:w="6196" w:type="dxa"/>
            <w:gridSpan w:val="3"/>
            <w:vAlign w:val="center"/>
          </w:tcPr>
          <w:p w14:paraId="0073185C" w14:textId="07944AD3" w:rsidR="00145939" w:rsidRPr="0061703E" w:rsidRDefault="00145939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 w:hint="eastAsia"/>
                <w:szCs w:val="21"/>
              </w:rPr>
              <w:t>4</w:t>
            </w:r>
            <w:r w:rsidRPr="0061703E">
              <w:rPr>
                <w:rFonts w:ascii="Arial" w:cs="Arial"/>
                <w:szCs w:val="21"/>
              </w:rPr>
              <w:t>.24</w:t>
            </w:r>
            <w:bookmarkStart w:id="3" w:name="_GoBack"/>
            <w:bookmarkEnd w:id="3"/>
          </w:p>
        </w:tc>
      </w:tr>
      <w:tr w:rsidR="009109DD" w:rsidRPr="0061703E" w14:paraId="1468AEA9" w14:textId="77777777" w:rsidTr="00152A2C">
        <w:trPr>
          <w:trHeight w:val="425"/>
          <w:jc w:val="center"/>
        </w:trPr>
        <w:tc>
          <w:tcPr>
            <w:tcW w:w="2756" w:type="dxa"/>
            <w:vAlign w:val="center"/>
          </w:tcPr>
          <w:p w14:paraId="7E3E1068" w14:textId="784C7808" w:rsidR="009109DD" w:rsidRPr="0061703E" w:rsidRDefault="009109DD" w:rsidP="0061703E">
            <w:pPr>
              <w:rPr>
                <w:rFonts w:ascii="Arial" w:hAnsi="宋体" w:cs="Arial"/>
                <w:kern w:val="0"/>
                <w:szCs w:val="21"/>
              </w:rPr>
            </w:pPr>
            <w:r w:rsidRPr="0061703E">
              <w:rPr>
                <w:rFonts w:ascii="Arial" w:hAnsi="宋体" w:cs="Arial"/>
                <w:kern w:val="0"/>
                <w:szCs w:val="21"/>
              </w:rPr>
              <w:t>是否触及《创业板股票上市规则》第</w:t>
            </w:r>
            <w:r w:rsidRPr="0061703E">
              <w:rPr>
                <w:rFonts w:ascii="Arial" w:hAnsi="宋体" w:cs="Arial"/>
                <w:kern w:val="0"/>
                <w:szCs w:val="21"/>
              </w:rPr>
              <w:t>9.4</w:t>
            </w:r>
            <w:r w:rsidRPr="0061703E">
              <w:rPr>
                <w:rFonts w:ascii="Arial" w:hAnsi="宋体" w:cs="Arial"/>
                <w:kern w:val="0"/>
                <w:szCs w:val="21"/>
              </w:rPr>
              <w:t>条第（八）项规定的可能被实施其他风险警示情形</w:t>
            </w:r>
          </w:p>
        </w:tc>
        <w:tc>
          <w:tcPr>
            <w:tcW w:w="6196" w:type="dxa"/>
            <w:gridSpan w:val="3"/>
            <w:vAlign w:val="center"/>
          </w:tcPr>
          <w:p w14:paraId="6A0672A2" w14:textId="26CAF441" w:rsidR="009109DD" w:rsidRPr="0061703E" w:rsidRDefault="009109DD" w:rsidP="0061703E">
            <w:pPr>
              <w:jc w:val="center"/>
              <w:rPr>
                <w:rFonts w:ascii="Arial" w:cs="Arial"/>
                <w:szCs w:val="21"/>
              </w:rPr>
            </w:pPr>
            <w:r w:rsidRPr="0061703E">
              <w:rPr>
                <w:rFonts w:ascii="Arial" w:cs="Arial"/>
                <w:szCs w:val="21"/>
              </w:rPr>
              <w:t>否</w:t>
            </w:r>
          </w:p>
        </w:tc>
      </w:tr>
    </w:tbl>
    <w:p w14:paraId="2D8A1B55" w14:textId="68ED41D6" w:rsidR="00145939" w:rsidRPr="00152A2C" w:rsidRDefault="00353D01" w:rsidP="00152A2C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 w:rsidRPr="00152A2C">
        <w:rPr>
          <w:rFonts w:ascii="Arial" w:cs="Arial" w:hint="eastAsia"/>
          <w:sz w:val="24"/>
          <w:szCs w:val="24"/>
        </w:rPr>
        <w:t>2</w:t>
      </w:r>
      <w:r w:rsidRPr="00152A2C">
        <w:rPr>
          <w:rFonts w:ascii="Arial" w:cs="Arial" w:hint="eastAsia"/>
          <w:sz w:val="24"/>
          <w:szCs w:val="24"/>
        </w:rPr>
        <w:t>、公司最近三个会计年度（</w:t>
      </w:r>
      <w:r w:rsidRPr="00152A2C">
        <w:rPr>
          <w:rFonts w:ascii="Arial" w:cs="Arial"/>
          <w:sz w:val="24"/>
          <w:szCs w:val="24"/>
        </w:rPr>
        <w:t>2023</w:t>
      </w:r>
      <w:r w:rsidR="00152A2C" w:rsidRPr="00152A2C">
        <w:rPr>
          <w:rFonts w:ascii="Arial" w:cs="Arial" w:hint="eastAsia"/>
          <w:sz w:val="24"/>
          <w:szCs w:val="24"/>
        </w:rPr>
        <w:t>年</w:t>
      </w:r>
      <w:r w:rsidRPr="00152A2C">
        <w:rPr>
          <w:rFonts w:ascii="Arial" w:cs="Arial"/>
          <w:sz w:val="24"/>
          <w:szCs w:val="24"/>
        </w:rPr>
        <w:t>-2025</w:t>
      </w:r>
      <w:r w:rsidR="00152A2C" w:rsidRPr="00152A2C">
        <w:rPr>
          <w:rFonts w:ascii="Arial" w:cs="Arial" w:hint="eastAsia"/>
          <w:sz w:val="24"/>
          <w:szCs w:val="24"/>
        </w:rPr>
        <w:t>年</w:t>
      </w:r>
      <w:r w:rsidRPr="00152A2C">
        <w:rPr>
          <w:rFonts w:ascii="Arial" w:cs="Arial" w:hint="eastAsia"/>
          <w:sz w:val="24"/>
          <w:szCs w:val="24"/>
        </w:rPr>
        <w:t>）累计现金分红</w:t>
      </w:r>
      <w:r w:rsidR="00152A2C" w:rsidRPr="00152A2C">
        <w:rPr>
          <w:rFonts w:ascii="Arial" w:cs="Arial" w:hint="eastAsia"/>
          <w:sz w:val="24"/>
          <w:szCs w:val="24"/>
        </w:rPr>
        <w:t>总额</w:t>
      </w:r>
      <w:r w:rsidRPr="00152A2C">
        <w:rPr>
          <w:rFonts w:ascii="Arial" w:cs="Arial" w:hint="eastAsia"/>
          <w:sz w:val="24"/>
          <w:szCs w:val="24"/>
        </w:rPr>
        <w:t>为</w:t>
      </w:r>
      <w:r w:rsidR="00145939" w:rsidRPr="00152A2C">
        <w:rPr>
          <w:rFonts w:ascii="Arial" w:cs="Arial"/>
          <w:sz w:val="24"/>
          <w:szCs w:val="24"/>
        </w:rPr>
        <w:t>63,848,329.22</w:t>
      </w:r>
      <w:r w:rsidRPr="00152A2C">
        <w:rPr>
          <w:rFonts w:ascii="Arial" w:cs="Arial" w:hint="eastAsia"/>
          <w:sz w:val="24"/>
          <w:szCs w:val="24"/>
        </w:rPr>
        <w:t>元，高于最近三个会计年度年均净利润的</w:t>
      </w:r>
      <w:r w:rsidRPr="00152A2C">
        <w:rPr>
          <w:rFonts w:ascii="Arial" w:cs="Arial"/>
          <w:sz w:val="24"/>
          <w:szCs w:val="24"/>
        </w:rPr>
        <w:t>30%</w:t>
      </w:r>
      <w:r w:rsidR="00152A2C" w:rsidRPr="00152A2C">
        <w:rPr>
          <w:rFonts w:ascii="Arial" w:cs="Arial" w:hint="eastAsia"/>
          <w:sz w:val="24"/>
          <w:szCs w:val="24"/>
        </w:rPr>
        <w:t>，</w:t>
      </w:r>
      <w:r w:rsidRPr="00152A2C">
        <w:rPr>
          <w:rFonts w:ascii="Arial" w:cs="Arial" w:hint="eastAsia"/>
          <w:sz w:val="24"/>
          <w:szCs w:val="24"/>
        </w:rPr>
        <w:t>不触及《深圳证券交易所创业板股票上市规则》第</w:t>
      </w:r>
      <w:r w:rsidRPr="00152A2C">
        <w:rPr>
          <w:rFonts w:ascii="Arial" w:cs="Arial"/>
          <w:sz w:val="24"/>
          <w:szCs w:val="24"/>
        </w:rPr>
        <w:t>9.4</w:t>
      </w:r>
      <w:r w:rsidRPr="00152A2C">
        <w:rPr>
          <w:rFonts w:ascii="Arial" w:cs="Arial" w:hint="eastAsia"/>
          <w:sz w:val="24"/>
          <w:szCs w:val="24"/>
        </w:rPr>
        <w:t>条第（八）项规定的可能被实施其他风险警示</w:t>
      </w:r>
      <w:r w:rsidR="00152A2C">
        <w:rPr>
          <w:rFonts w:ascii="Arial" w:cs="Arial" w:hint="eastAsia"/>
          <w:sz w:val="24"/>
          <w:szCs w:val="24"/>
        </w:rPr>
        <w:t>的</w:t>
      </w:r>
      <w:r w:rsidRPr="00152A2C">
        <w:rPr>
          <w:rFonts w:ascii="Arial" w:cs="Arial" w:hint="eastAsia"/>
          <w:sz w:val="24"/>
          <w:szCs w:val="24"/>
        </w:rPr>
        <w:t>情形。</w:t>
      </w:r>
    </w:p>
    <w:p w14:paraId="1E0B4948" w14:textId="24FE039E" w:rsidR="00353D01" w:rsidRPr="00152A2C" w:rsidRDefault="00353D01" w:rsidP="0054241C">
      <w:pPr>
        <w:spacing w:beforeLines="25" w:before="78" w:line="348" w:lineRule="auto"/>
        <w:ind w:firstLineChars="200" w:firstLine="482"/>
        <w:rPr>
          <w:rFonts w:ascii="Arial" w:cs="Arial"/>
          <w:b/>
          <w:bCs/>
          <w:sz w:val="24"/>
          <w:szCs w:val="24"/>
        </w:rPr>
      </w:pPr>
      <w:r w:rsidRPr="00152A2C">
        <w:rPr>
          <w:rFonts w:ascii="Arial" w:cs="Arial"/>
          <w:b/>
          <w:bCs/>
          <w:sz w:val="24"/>
          <w:szCs w:val="24"/>
        </w:rPr>
        <w:t>（二）现金分红方案合理性说明</w:t>
      </w:r>
    </w:p>
    <w:p w14:paraId="4CF908A3" w14:textId="186C72FA" w:rsidR="0086551A" w:rsidRDefault="0086551A" w:rsidP="0054241C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lastRenderedPageBreak/>
        <w:t>公司本次</w:t>
      </w:r>
      <w:r>
        <w:rPr>
          <w:rFonts w:ascii="Arial" w:cs="Arial"/>
          <w:sz w:val="24"/>
          <w:szCs w:val="24"/>
        </w:rPr>
        <w:t>利润分配预案符合《公司法》《关于进一步落实上市公司现金分红有关事项的通知》《上市公司监管指引第</w:t>
      </w:r>
      <w:r>
        <w:rPr>
          <w:rFonts w:ascii="Arial" w:cs="Arial"/>
          <w:sz w:val="24"/>
          <w:szCs w:val="24"/>
        </w:rPr>
        <w:t xml:space="preserve"> 3 </w:t>
      </w:r>
      <w:r>
        <w:rPr>
          <w:rFonts w:ascii="Arial" w:cs="Arial"/>
          <w:sz w:val="24"/>
          <w:szCs w:val="24"/>
        </w:rPr>
        <w:t>号</w:t>
      </w:r>
      <w:r>
        <w:rPr>
          <w:rFonts w:ascii="Arial" w:cs="Arial"/>
          <w:sz w:val="24"/>
          <w:szCs w:val="24"/>
        </w:rPr>
        <w:t>—</w:t>
      </w:r>
      <w:r>
        <w:rPr>
          <w:rFonts w:ascii="Arial" w:cs="Arial"/>
          <w:sz w:val="24"/>
          <w:szCs w:val="24"/>
        </w:rPr>
        <w:t>上市公司现金分红》等相关法律法规、规范性文件及《公司章程》</w:t>
      </w:r>
      <w:r>
        <w:rPr>
          <w:rFonts w:ascii="Arial" w:cs="Arial" w:hint="eastAsia"/>
          <w:sz w:val="24"/>
          <w:szCs w:val="24"/>
        </w:rPr>
        <w:t>的有关</w:t>
      </w:r>
      <w:r>
        <w:rPr>
          <w:rFonts w:ascii="Arial" w:cs="Arial"/>
          <w:sz w:val="24"/>
          <w:szCs w:val="24"/>
        </w:rPr>
        <w:t>规定，</w:t>
      </w:r>
      <w:r>
        <w:rPr>
          <w:rFonts w:ascii="Arial" w:cs="Arial" w:hint="eastAsia"/>
          <w:sz w:val="24"/>
          <w:szCs w:val="24"/>
        </w:rPr>
        <w:t>综合考虑了公司经营情况、未来发展资金需求及股东投资回报等因素，与公司经营业绩及长远发展相匹配，有利于全体股东共享经营成果；</w:t>
      </w:r>
      <w:r w:rsidRPr="0086551A">
        <w:rPr>
          <w:rFonts w:ascii="Arial" w:cs="Arial" w:hint="eastAsia"/>
          <w:sz w:val="24"/>
          <w:szCs w:val="24"/>
        </w:rPr>
        <w:t>实施本次利润分配预案不会造成公司流动资金短缺或其他不良影响。本次利润分配预案具备合法性、合</w:t>
      </w:r>
      <w:proofErr w:type="gramStart"/>
      <w:r w:rsidRPr="0086551A">
        <w:rPr>
          <w:rFonts w:ascii="Arial" w:cs="Arial" w:hint="eastAsia"/>
          <w:sz w:val="24"/>
          <w:szCs w:val="24"/>
        </w:rPr>
        <w:t>规</w:t>
      </w:r>
      <w:proofErr w:type="gramEnd"/>
      <w:r w:rsidRPr="0086551A">
        <w:rPr>
          <w:rFonts w:ascii="Arial" w:cs="Arial" w:hint="eastAsia"/>
          <w:sz w:val="24"/>
          <w:szCs w:val="24"/>
        </w:rPr>
        <w:t>性及合理性。</w:t>
      </w:r>
    </w:p>
    <w:p w14:paraId="2A168681" w14:textId="2B85356E" w:rsidR="00C7616D" w:rsidRDefault="008F40A5" w:rsidP="0054241C">
      <w:pPr>
        <w:spacing w:beforeLines="50" w:before="156" w:line="348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>
        <w:rPr>
          <w:rFonts w:ascii="Arial" w:cs="Arial" w:hint="eastAsia"/>
          <w:b/>
          <w:sz w:val="24"/>
          <w:szCs w:val="24"/>
        </w:rPr>
        <w:t>四、其他说明</w:t>
      </w:r>
      <w:r w:rsidR="00C521EE">
        <w:rPr>
          <w:rFonts w:ascii="Arial" w:cs="Arial" w:hint="eastAsia"/>
          <w:b/>
          <w:sz w:val="24"/>
          <w:szCs w:val="24"/>
        </w:rPr>
        <w:t>及风险提示</w:t>
      </w:r>
    </w:p>
    <w:p w14:paraId="3BFD126A" w14:textId="37D3375F" w:rsidR="00C521EE" w:rsidRDefault="00C521EE" w:rsidP="00C521EE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t>1</w:t>
      </w:r>
      <w:r>
        <w:rPr>
          <w:rFonts w:ascii="Arial" w:cs="Arial" w:hint="eastAsia"/>
          <w:sz w:val="24"/>
          <w:szCs w:val="24"/>
        </w:rPr>
        <w:t>、在本次利润分配预案披露前，公司严格控制知情人的范围，告知相关知情人应履行保密义务和严禁内幕交易，并对知情人进行了备案登记。</w:t>
      </w:r>
    </w:p>
    <w:p w14:paraId="4A4DB931" w14:textId="3AE42C82" w:rsidR="00C7616D" w:rsidRDefault="00C521EE" w:rsidP="00C521EE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t>2</w:t>
      </w:r>
      <w:r>
        <w:rPr>
          <w:rFonts w:ascii="Arial" w:cs="Arial" w:hint="eastAsia"/>
          <w:sz w:val="24"/>
          <w:szCs w:val="24"/>
        </w:rPr>
        <w:t>、</w:t>
      </w:r>
      <w:r w:rsidR="008F40A5">
        <w:rPr>
          <w:rFonts w:ascii="Arial" w:cs="Arial" w:hint="eastAsia"/>
          <w:sz w:val="24"/>
          <w:szCs w:val="24"/>
        </w:rPr>
        <w:t>本次利润分配预案尚需</w:t>
      </w:r>
      <w:r>
        <w:rPr>
          <w:rFonts w:ascii="Arial" w:cs="Arial" w:hint="eastAsia"/>
          <w:sz w:val="24"/>
          <w:szCs w:val="24"/>
        </w:rPr>
        <w:t>提交</w:t>
      </w:r>
      <w:r w:rsidR="008F40A5">
        <w:rPr>
          <w:rFonts w:ascii="Arial" w:cs="Arial" w:hint="eastAsia"/>
          <w:sz w:val="24"/>
          <w:szCs w:val="24"/>
        </w:rPr>
        <w:t>公司</w:t>
      </w:r>
      <w:r w:rsidR="008F40A5">
        <w:rPr>
          <w:rFonts w:ascii="Arial" w:cs="Arial" w:hint="eastAsia"/>
          <w:sz w:val="24"/>
          <w:szCs w:val="24"/>
        </w:rPr>
        <w:t>2025</w:t>
      </w:r>
      <w:r w:rsidR="008F40A5">
        <w:rPr>
          <w:rFonts w:ascii="Arial" w:cs="Arial" w:hint="eastAsia"/>
          <w:sz w:val="24"/>
          <w:szCs w:val="24"/>
        </w:rPr>
        <w:t>年年度股东会审议通过后方可实施，敬请广大投资者</w:t>
      </w:r>
      <w:r>
        <w:rPr>
          <w:rFonts w:ascii="Arial" w:cs="Arial" w:hint="eastAsia"/>
          <w:sz w:val="24"/>
          <w:szCs w:val="24"/>
        </w:rPr>
        <w:t>理性投资，</w:t>
      </w:r>
      <w:r w:rsidR="008F40A5">
        <w:rPr>
          <w:rFonts w:ascii="Arial" w:cs="Arial" w:hint="eastAsia"/>
          <w:sz w:val="24"/>
          <w:szCs w:val="24"/>
        </w:rPr>
        <w:t>注意投资风险。</w:t>
      </w:r>
    </w:p>
    <w:p w14:paraId="53A275D9" w14:textId="77777777" w:rsidR="00C7616D" w:rsidRDefault="008F40A5" w:rsidP="0054241C">
      <w:pPr>
        <w:spacing w:beforeLines="50" w:before="156" w:line="348" w:lineRule="auto"/>
        <w:ind w:firstLineChars="200" w:firstLine="482"/>
        <w:outlineLvl w:val="0"/>
        <w:rPr>
          <w:rFonts w:ascii="Arial" w:cs="Arial"/>
          <w:b/>
          <w:sz w:val="24"/>
          <w:szCs w:val="24"/>
        </w:rPr>
      </w:pPr>
      <w:r>
        <w:rPr>
          <w:rFonts w:ascii="Arial" w:cs="Arial" w:hint="eastAsia"/>
          <w:b/>
          <w:sz w:val="24"/>
          <w:szCs w:val="24"/>
        </w:rPr>
        <w:t>五、备查文件</w:t>
      </w:r>
    </w:p>
    <w:p w14:paraId="74F72D81" w14:textId="77777777" w:rsidR="00C7616D" w:rsidRDefault="008F40A5" w:rsidP="0054241C">
      <w:pPr>
        <w:spacing w:line="348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1</w:t>
      </w:r>
      <w:r>
        <w:rPr>
          <w:rFonts w:ascii="Arial" w:hAnsi="Times New Roman" w:cs="Arial" w:hint="eastAsia"/>
          <w:sz w:val="24"/>
          <w:szCs w:val="24"/>
        </w:rPr>
        <w:t>、第</w:t>
      </w:r>
      <w:r>
        <w:rPr>
          <w:rFonts w:ascii="Arial" w:hAnsi="Times New Roman" w:cs="Arial"/>
          <w:sz w:val="24"/>
          <w:szCs w:val="24"/>
        </w:rPr>
        <w:t>六</w:t>
      </w:r>
      <w:r>
        <w:rPr>
          <w:rFonts w:ascii="Arial" w:hAnsi="Times New Roman" w:cs="Arial" w:hint="eastAsia"/>
          <w:sz w:val="24"/>
          <w:szCs w:val="24"/>
        </w:rPr>
        <w:t>届董事会第</w:t>
      </w:r>
      <w:r>
        <w:rPr>
          <w:rFonts w:ascii="Arial" w:hAnsi="Times New Roman" w:cs="Arial"/>
          <w:sz w:val="24"/>
          <w:szCs w:val="24"/>
        </w:rPr>
        <w:t>十</w:t>
      </w:r>
      <w:r>
        <w:rPr>
          <w:rFonts w:ascii="Arial" w:hAnsi="Times New Roman" w:cs="Arial" w:hint="eastAsia"/>
          <w:sz w:val="24"/>
          <w:szCs w:val="24"/>
        </w:rPr>
        <w:t>八次会议决议；</w:t>
      </w:r>
    </w:p>
    <w:p w14:paraId="0A175BDE" w14:textId="6163D953" w:rsidR="00C7616D" w:rsidRDefault="008F40A5" w:rsidP="0054241C">
      <w:pPr>
        <w:spacing w:line="348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2</w:t>
      </w:r>
      <w:r>
        <w:rPr>
          <w:rFonts w:ascii="Arial" w:hAnsi="Times New Roman" w:cs="Arial" w:hint="eastAsia"/>
          <w:sz w:val="24"/>
          <w:szCs w:val="24"/>
        </w:rPr>
        <w:t>、第</w:t>
      </w:r>
      <w:r>
        <w:rPr>
          <w:rFonts w:ascii="Arial" w:hAnsi="Times New Roman" w:cs="Arial"/>
          <w:sz w:val="24"/>
          <w:szCs w:val="24"/>
        </w:rPr>
        <w:t>六</w:t>
      </w:r>
      <w:r>
        <w:rPr>
          <w:rFonts w:ascii="Arial" w:hAnsi="Times New Roman" w:cs="Arial" w:hint="eastAsia"/>
          <w:sz w:val="24"/>
          <w:szCs w:val="24"/>
        </w:rPr>
        <w:t>届</w:t>
      </w:r>
      <w:r>
        <w:rPr>
          <w:rFonts w:ascii="Arial" w:hAnsi="Times New Roman" w:cs="Arial"/>
          <w:sz w:val="24"/>
          <w:szCs w:val="24"/>
        </w:rPr>
        <w:t>董事会</w:t>
      </w:r>
      <w:r>
        <w:rPr>
          <w:rFonts w:ascii="Arial" w:hAnsi="Times New Roman" w:cs="Arial" w:hint="eastAsia"/>
          <w:sz w:val="24"/>
          <w:szCs w:val="24"/>
        </w:rPr>
        <w:t>审计委员会</w:t>
      </w:r>
      <w:r>
        <w:rPr>
          <w:rFonts w:ascii="Arial" w:hAnsi="Times New Roman" w:cs="Arial"/>
          <w:sz w:val="24"/>
          <w:szCs w:val="24"/>
        </w:rPr>
        <w:t>第</w:t>
      </w:r>
      <w:r>
        <w:rPr>
          <w:rFonts w:ascii="Arial" w:hAnsi="Times New Roman" w:cs="Arial" w:hint="eastAsia"/>
          <w:sz w:val="24"/>
          <w:szCs w:val="24"/>
        </w:rPr>
        <w:t>十三</w:t>
      </w:r>
      <w:r>
        <w:rPr>
          <w:rFonts w:ascii="Arial" w:hAnsi="Times New Roman" w:cs="Arial"/>
          <w:sz w:val="24"/>
          <w:szCs w:val="24"/>
        </w:rPr>
        <w:t>次会议决议</w:t>
      </w:r>
      <w:r>
        <w:rPr>
          <w:rFonts w:ascii="Arial" w:hAnsi="Times New Roman" w:cs="Arial" w:hint="eastAsia"/>
          <w:sz w:val="24"/>
          <w:szCs w:val="24"/>
        </w:rPr>
        <w:t>；</w:t>
      </w:r>
    </w:p>
    <w:p w14:paraId="339D78FF" w14:textId="166A9EEB" w:rsidR="00C7616D" w:rsidRDefault="008F40A5" w:rsidP="0054241C">
      <w:pPr>
        <w:spacing w:line="348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3</w:t>
      </w:r>
      <w:r>
        <w:rPr>
          <w:rFonts w:ascii="Arial" w:hAnsi="Times New Roman" w:cs="Arial" w:hint="eastAsia"/>
          <w:sz w:val="24"/>
          <w:szCs w:val="24"/>
        </w:rPr>
        <w:t>、</w:t>
      </w:r>
      <w:r>
        <w:rPr>
          <w:rFonts w:ascii="Arial" w:cs="Arial" w:hint="eastAsia"/>
          <w:sz w:val="24"/>
          <w:szCs w:val="24"/>
        </w:rPr>
        <w:t>第</w:t>
      </w:r>
      <w:r>
        <w:rPr>
          <w:rFonts w:ascii="Arial" w:cs="Arial"/>
          <w:sz w:val="24"/>
          <w:szCs w:val="24"/>
        </w:rPr>
        <w:t>六</w:t>
      </w:r>
      <w:r>
        <w:rPr>
          <w:rFonts w:ascii="Arial" w:cs="Arial" w:hint="eastAsia"/>
          <w:sz w:val="24"/>
          <w:szCs w:val="24"/>
        </w:rPr>
        <w:t>届董事会独立董事第十一次专门会议决议</w:t>
      </w:r>
      <w:r>
        <w:rPr>
          <w:rFonts w:ascii="Arial" w:hAnsi="Times New Roman" w:cs="Arial" w:hint="eastAsia"/>
          <w:sz w:val="24"/>
          <w:szCs w:val="24"/>
        </w:rPr>
        <w:t>。</w:t>
      </w:r>
    </w:p>
    <w:p w14:paraId="2B157A8A" w14:textId="77777777" w:rsidR="00C7616D" w:rsidRDefault="008F40A5" w:rsidP="0054241C">
      <w:pPr>
        <w:spacing w:beforeLines="25" w:before="78" w:line="348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t>特此公告。</w:t>
      </w:r>
    </w:p>
    <w:p w14:paraId="1EF15F32" w14:textId="77777777" w:rsidR="00223F9B" w:rsidRDefault="00223F9B">
      <w:pPr>
        <w:pStyle w:val="Default"/>
        <w:spacing w:beforeLines="25" w:before="78" w:line="360" w:lineRule="auto"/>
        <w:ind w:firstLineChars="200" w:firstLine="480"/>
        <w:jc w:val="right"/>
        <w:rPr>
          <w:rFonts w:ascii="Arial" w:eastAsiaTheme="minorEastAsia" w:hAnsiTheme="minorEastAsia" w:cs="Arial"/>
        </w:rPr>
      </w:pPr>
    </w:p>
    <w:p w14:paraId="2C3E063D" w14:textId="5CDCD557" w:rsidR="00C7616D" w:rsidRDefault="008F40A5">
      <w:pPr>
        <w:pStyle w:val="Default"/>
        <w:spacing w:beforeLines="25" w:before="78" w:line="360" w:lineRule="auto"/>
        <w:ind w:firstLineChars="200" w:firstLine="480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Theme="minorEastAsia" w:cs="Arial"/>
        </w:rPr>
        <w:t>南京宝色股份公司董事会</w:t>
      </w:r>
    </w:p>
    <w:p w14:paraId="5D9959F0" w14:textId="0EB1E228" w:rsidR="00C7616D" w:rsidRDefault="008F40A5">
      <w:pPr>
        <w:pStyle w:val="Default"/>
        <w:spacing w:beforeLines="25" w:before="78" w:line="360" w:lineRule="auto"/>
        <w:ind w:firstLineChars="200" w:firstLine="560"/>
        <w:jc w:val="right"/>
        <w:rPr>
          <w:rFonts w:ascii="Arial" w:eastAsiaTheme="minorEastAsia" w:hAnsi="Arial" w:cs="Arial"/>
          <w:spacing w:val="20"/>
        </w:rPr>
      </w:pPr>
      <w:r>
        <w:rPr>
          <w:rFonts w:ascii="Arial" w:eastAsiaTheme="minorEastAsia" w:hAnsi="Arial" w:cs="Arial"/>
          <w:spacing w:val="20"/>
        </w:rPr>
        <w:t>20</w:t>
      </w:r>
      <w:r>
        <w:rPr>
          <w:rFonts w:ascii="Arial" w:eastAsiaTheme="minorEastAsia" w:hAnsi="Arial" w:cs="Arial" w:hint="eastAsia"/>
          <w:spacing w:val="20"/>
        </w:rPr>
        <w:t>26</w:t>
      </w:r>
      <w:r>
        <w:rPr>
          <w:rFonts w:ascii="Arial" w:eastAsiaTheme="minorEastAsia" w:hAnsiTheme="minorEastAsia" w:cs="Arial"/>
          <w:spacing w:val="20"/>
        </w:rPr>
        <w:t>年</w:t>
      </w:r>
      <w:r>
        <w:rPr>
          <w:rFonts w:ascii="Arial" w:eastAsiaTheme="minorEastAsia" w:hAnsiTheme="minorEastAsia" w:cs="Arial" w:hint="eastAsia"/>
          <w:spacing w:val="20"/>
        </w:rPr>
        <w:t>4</w:t>
      </w:r>
      <w:r>
        <w:rPr>
          <w:rFonts w:ascii="Arial" w:eastAsiaTheme="minorEastAsia" w:hAnsiTheme="minorEastAsia" w:cs="Arial"/>
          <w:spacing w:val="20"/>
        </w:rPr>
        <w:t>月</w:t>
      </w:r>
      <w:r w:rsidR="009456FC">
        <w:rPr>
          <w:rFonts w:ascii="Arial" w:eastAsiaTheme="minorEastAsia" w:hAnsiTheme="minorEastAsia" w:cs="Arial" w:hint="eastAsia"/>
          <w:spacing w:val="20"/>
        </w:rPr>
        <w:t>3</w:t>
      </w:r>
      <w:r>
        <w:rPr>
          <w:rFonts w:ascii="Arial" w:eastAsiaTheme="minorEastAsia" w:hAnsiTheme="minorEastAsia" w:cs="Arial"/>
          <w:spacing w:val="20"/>
        </w:rPr>
        <w:t>日</w:t>
      </w:r>
    </w:p>
    <w:sectPr w:rsidR="00C7616D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36327" w14:textId="77777777" w:rsidR="000D3510" w:rsidRDefault="000D3510">
      <w:r>
        <w:separator/>
      </w:r>
    </w:p>
  </w:endnote>
  <w:endnote w:type="continuationSeparator" w:id="0">
    <w:p w14:paraId="3BA83E28" w14:textId="77777777" w:rsidR="000D3510" w:rsidRDefault="000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9465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5FF29467" w14:textId="0DD11AE1" w:rsidR="00C7616D" w:rsidRDefault="008F40A5">
        <w:pPr>
          <w:pStyle w:val="a5"/>
          <w:jc w:val="center"/>
        </w:pPr>
        <w:r>
          <w:rPr>
            <w:rFonts w:ascii="Times New Roman" w:eastAsia="微软雅黑" w:hAnsi="Times New Roman"/>
            <w:sz w:val="21"/>
            <w:szCs w:val="21"/>
          </w:rPr>
          <w:fldChar w:fldCharType="begin"/>
        </w:r>
        <w:r>
          <w:rPr>
            <w:rFonts w:ascii="Times New Roman" w:eastAsia="微软雅黑" w:hAnsi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eastAsia="微软雅黑" w:hAnsi="Times New Roman"/>
            <w:sz w:val="21"/>
            <w:szCs w:val="21"/>
          </w:rPr>
          <w:fldChar w:fldCharType="separate"/>
        </w:r>
        <w:r w:rsidR="00985A7F" w:rsidRPr="00985A7F">
          <w:rPr>
            <w:rFonts w:ascii="Times New Roman" w:eastAsia="微软雅黑" w:hAnsi="Times New Roman"/>
            <w:noProof/>
            <w:sz w:val="21"/>
            <w:szCs w:val="21"/>
            <w:lang w:val="zh-CN"/>
          </w:rPr>
          <w:t>4</w:t>
        </w:r>
        <w:r>
          <w:rPr>
            <w:rFonts w:ascii="Times New Roman" w:eastAsia="微软雅黑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4CA09" w14:textId="77777777" w:rsidR="000D3510" w:rsidRDefault="000D3510">
      <w:r>
        <w:separator/>
      </w:r>
    </w:p>
  </w:footnote>
  <w:footnote w:type="continuationSeparator" w:id="0">
    <w:p w14:paraId="633991B4" w14:textId="77777777" w:rsidR="000D3510" w:rsidRDefault="000D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7A8"/>
    <w:rsid w:val="00005CD4"/>
    <w:rsid w:val="00013DD1"/>
    <w:rsid w:val="000238A4"/>
    <w:rsid w:val="000708A7"/>
    <w:rsid w:val="000861CF"/>
    <w:rsid w:val="000D3510"/>
    <w:rsid w:val="000F26BB"/>
    <w:rsid w:val="001068A7"/>
    <w:rsid w:val="00131A66"/>
    <w:rsid w:val="00141B16"/>
    <w:rsid w:val="00145939"/>
    <w:rsid w:val="00152A2C"/>
    <w:rsid w:val="00163F4D"/>
    <w:rsid w:val="001954F8"/>
    <w:rsid w:val="001A45A2"/>
    <w:rsid w:val="001B3C47"/>
    <w:rsid w:val="001C41E3"/>
    <w:rsid w:val="001D6607"/>
    <w:rsid w:val="0020651D"/>
    <w:rsid w:val="00223F9B"/>
    <w:rsid w:val="00243827"/>
    <w:rsid w:val="0025570E"/>
    <w:rsid w:val="00257537"/>
    <w:rsid w:val="0027127B"/>
    <w:rsid w:val="00276661"/>
    <w:rsid w:val="00292C3F"/>
    <w:rsid w:val="002B7AE6"/>
    <w:rsid w:val="002C0A9A"/>
    <w:rsid w:val="002C37B8"/>
    <w:rsid w:val="002C58F6"/>
    <w:rsid w:val="002E0A46"/>
    <w:rsid w:val="002E4C74"/>
    <w:rsid w:val="002F6904"/>
    <w:rsid w:val="003132CD"/>
    <w:rsid w:val="00330E22"/>
    <w:rsid w:val="00353D01"/>
    <w:rsid w:val="00354910"/>
    <w:rsid w:val="003A5011"/>
    <w:rsid w:val="003C4E8C"/>
    <w:rsid w:val="003E0DA3"/>
    <w:rsid w:val="003F62F0"/>
    <w:rsid w:val="00403B6F"/>
    <w:rsid w:val="0040518F"/>
    <w:rsid w:val="00431E6B"/>
    <w:rsid w:val="004520EB"/>
    <w:rsid w:val="00471DA0"/>
    <w:rsid w:val="004763A2"/>
    <w:rsid w:val="004B3020"/>
    <w:rsid w:val="004B5E71"/>
    <w:rsid w:val="004D4ED5"/>
    <w:rsid w:val="004E0512"/>
    <w:rsid w:val="00510C8C"/>
    <w:rsid w:val="00514B15"/>
    <w:rsid w:val="00525A20"/>
    <w:rsid w:val="0054241C"/>
    <w:rsid w:val="00567917"/>
    <w:rsid w:val="005714C9"/>
    <w:rsid w:val="00581113"/>
    <w:rsid w:val="00583DD3"/>
    <w:rsid w:val="005A0B62"/>
    <w:rsid w:val="005A5DAA"/>
    <w:rsid w:val="005B5708"/>
    <w:rsid w:val="00602CDF"/>
    <w:rsid w:val="00605ECE"/>
    <w:rsid w:val="00606322"/>
    <w:rsid w:val="0061093E"/>
    <w:rsid w:val="0061703E"/>
    <w:rsid w:val="00622720"/>
    <w:rsid w:val="00625ECD"/>
    <w:rsid w:val="00633D6B"/>
    <w:rsid w:val="00636CD4"/>
    <w:rsid w:val="00636D5B"/>
    <w:rsid w:val="006670BC"/>
    <w:rsid w:val="006758A9"/>
    <w:rsid w:val="006B1EAC"/>
    <w:rsid w:val="006C3BE9"/>
    <w:rsid w:val="006E5CD5"/>
    <w:rsid w:val="007024DF"/>
    <w:rsid w:val="0071224C"/>
    <w:rsid w:val="00722358"/>
    <w:rsid w:val="00722EDE"/>
    <w:rsid w:val="007363C7"/>
    <w:rsid w:val="007373A4"/>
    <w:rsid w:val="00765DB8"/>
    <w:rsid w:val="00774021"/>
    <w:rsid w:val="00776C51"/>
    <w:rsid w:val="007B1080"/>
    <w:rsid w:val="007B11E1"/>
    <w:rsid w:val="007D0BE6"/>
    <w:rsid w:val="007D3FD8"/>
    <w:rsid w:val="007F0591"/>
    <w:rsid w:val="00835D71"/>
    <w:rsid w:val="008545CE"/>
    <w:rsid w:val="00865421"/>
    <w:rsid w:val="0086551A"/>
    <w:rsid w:val="008679C3"/>
    <w:rsid w:val="008861E5"/>
    <w:rsid w:val="008B09C5"/>
    <w:rsid w:val="008C022E"/>
    <w:rsid w:val="008C4427"/>
    <w:rsid w:val="008D5312"/>
    <w:rsid w:val="008F1F3B"/>
    <w:rsid w:val="008F3233"/>
    <w:rsid w:val="008F40A5"/>
    <w:rsid w:val="008F7FBC"/>
    <w:rsid w:val="009018D1"/>
    <w:rsid w:val="009109DD"/>
    <w:rsid w:val="00914E53"/>
    <w:rsid w:val="00916051"/>
    <w:rsid w:val="00930169"/>
    <w:rsid w:val="009456FC"/>
    <w:rsid w:val="0094585E"/>
    <w:rsid w:val="009525B3"/>
    <w:rsid w:val="009525DF"/>
    <w:rsid w:val="00953CD1"/>
    <w:rsid w:val="00972E72"/>
    <w:rsid w:val="009762F5"/>
    <w:rsid w:val="009847AC"/>
    <w:rsid w:val="00985A7F"/>
    <w:rsid w:val="009A2068"/>
    <w:rsid w:val="009A553E"/>
    <w:rsid w:val="009A7244"/>
    <w:rsid w:val="009D61FF"/>
    <w:rsid w:val="009D67AD"/>
    <w:rsid w:val="009D6C38"/>
    <w:rsid w:val="00A04F3F"/>
    <w:rsid w:val="00A160C0"/>
    <w:rsid w:val="00A23C6D"/>
    <w:rsid w:val="00A250C8"/>
    <w:rsid w:val="00A327A2"/>
    <w:rsid w:val="00A50B20"/>
    <w:rsid w:val="00A732EF"/>
    <w:rsid w:val="00AC1B29"/>
    <w:rsid w:val="00AE5231"/>
    <w:rsid w:val="00B13771"/>
    <w:rsid w:val="00B2519D"/>
    <w:rsid w:val="00B4393F"/>
    <w:rsid w:val="00B55829"/>
    <w:rsid w:val="00B626BA"/>
    <w:rsid w:val="00B859DB"/>
    <w:rsid w:val="00B97688"/>
    <w:rsid w:val="00BA2B08"/>
    <w:rsid w:val="00BA6751"/>
    <w:rsid w:val="00BA6795"/>
    <w:rsid w:val="00BA6B5F"/>
    <w:rsid w:val="00BC40CF"/>
    <w:rsid w:val="00BE3218"/>
    <w:rsid w:val="00BE7BB8"/>
    <w:rsid w:val="00BF429E"/>
    <w:rsid w:val="00BF4D40"/>
    <w:rsid w:val="00C02FF1"/>
    <w:rsid w:val="00C1178E"/>
    <w:rsid w:val="00C206A9"/>
    <w:rsid w:val="00C34282"/>
    <w:rsid w:val="00C44E14"/>
    <w:rsid w:val="00C45DCD"/>
    <w:rsid w:val="00C47470"/>
    <w:rsid w:val="00C521EE"/>
    <w:rsid w:val="00C65E9A"/>
    <w:rsid w:val="00C736B2"/>
    <w:rsid w:val="00C7616D"/>
    <w:rsid w:val="00C86FCD"/>
    <w:rsid w:val="00CA2F8E"/>
    <w:rsid w:val="00CC6E15"/>
    <w:rsid w:val="00CD27A8"/>
    <w:rsid w:val="00CE180A"/>
    <w:rsid w:val="00CF1BCB"/>
    <w:rsid w:val="00D07675"/>
    <w:rsid w:val="00D1459B"/>
    <w:rsid w:val="00D226EA"/>
    <w:rsid w:val="00D25D1C"/>
    <w:rsid w:val="00D57E53"/>
    <w:rsid w:val="00D703E9"/>
    <w:rsid w:val="00D8744E"/>
    <w:rsid w:val="00DB1B05"/>
    <w:rsid w:val="00DC2D78"/>
    <w:rsid w:val="00DE62E2"/>
    <w:rsid w:val="00E17BF8"/>
    <w:rsid w:val="00E17C78"/>
    <w:rsid w:val="00E20B3F"/>
    <w:rsid w:val="00E50B4B"/>
    <w:rsid w:val="00E71116"/>
    <w:rsid w:val="00E73BED"/>
    <w:rsid w:val="00E8066D"/>
    <w:rsid w:val="00E8070E"/>
    <w:rsid w:val="00EE5EE8"/>
    <w:rsid w:val="00EF5EEB"/>
    <w:rsid w:val="00F22281"/>
    <w:rsid w:val="00F26FCD"/>
    <w:rsid w:val="00F65657"/>
    <w:rsid w:val="00F72F6C"/>
    <w:rsid w:val="00F8648A"/>
    <w:rsid w:val="00FA23AC"/>
    <w:rsid w:val="00FC4818"/>
    <w:rsid w:val="00FC7568"/>
    <w:rsid w:val="00FD0FB9"/>
    <w:rsid w:val="00FD411D"/>
    <w:rsid w:val="00FE1048"/>
    <w:rsid w:val="00FE6772"/>
    <w:rsid w:val="00FF5467"/>
    <w:rsid w:val="431A1904"/>
    <w:rsid w:val="58D90687"/>
    <w:rsid w:val="5DFF21D2"/>
    <w:rsid w:val="7A5C2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ADE64A"/>
  <w15:docId w15:val="{0EA63951-8B62-459E-B734-27F64897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unhideWhenUsed/>
    <w:rsid w:val="0086551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2333</Words>
  <Characters>660</Characters>
  <Application>Microsoft Office Word</Application>
  <DocSecurity>0</DocSecurity>
  <Lines>5</Lines>
  <Paragraphs>5</Paragraphs>
  <ScaleCrop>false</ScaleCrop>
  <Company>Lenovo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503会议室</cp:lastModifiedBy>
  <cp:revision>131</cp:revision>
  <cp:lastPrinted>2026-03-28T11:35:00Z</cp:lastPrinted>
  <dcterms:created xsi:type="dcterms:W3CDTF">2018-03-08T06:52:00Z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13443B46CACB43CBAF2DD153E1E68EA6_12</vt:lpwstr>
  </property>
</Properties>
</file>