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60" w:rsidRPr="008E1D6B" w:rsidRDefault="001B5B60" w:rsidP="008E1D6B">
      <w:pPr>
        <w:spacing w:line="520" w:lineRule="exact"/>
        <w:jc w:val="center"/>
        <w:rPr>
          <w:rFonts w:ascii="Arial" w:hAnsi="宋体" w:cs="Arial"/>
          <w:b/>
          <w:sz w:val="30"/>
          <w:szCs w:val="30"/>
        </w:rPr>
      </w:pPr>
      <w:r w:rsidRPr="008E1D6B">
        <w:rPr>
          <w:rFonts w:ascii="Arial" w:hAnsi="宋体" w:cs="Arial" w:hint="eastAsia"/>
          <w:b/>
          <w:sz w:val="30"/>
          <w:szCs w:val="30"/>
        </w:rPr>
        <w:t>南京宝色股份公司</w:t>
      </w:r>
    </w:p>
    <w:p w:rsidR="001B5B60" w:rsidRPr="008E1D6B" w:rsidRDefault="001B5B60" w:rsidP="008E1D6B">
      <w:pPr>
        <w:spacing w:afterLines="100" w:after="312" w:line="520" w:lineRule="exact"/>
        <w:jc w:val="center"/>
        <w:rPr>
          <w:rFonts w:ascii="Arial" w:hAnsi="宋体" w:cs="Arial"/>
          <w:b/>
          <w:sz w:val="30"/>
          <w:szCs w:val="30"/>
        </w:rPr>
      </w:pPr>
      <w:r w:rsidRPr="008E1D6B">
        <w:rPr>
          <w:rFonts w:ascii="Arial" w:hAnsi="宋体" w:cs="Arial" w:hint="eastAsia"/>
          <w:b/>
          <w:sz w:val="30"/>
          <w:szCs w:val="30"/>
        </w:rPr>
        <w:t>202</w:t>
      </w:r>
      <w:r w:rsidR="00CD2222" w:rsidRPr="008E1D6B">
        <w:rPr>
          <w:rFonts w:ascii="Arial" w:hAnsi="宋体" w:cs="Arial"/>
          <w:b/>
          <w:sz w:val="30"/>
          <w:szCs w:val="30"/>
        </w:rPr>
        <w:t>5</w:t>
      </w:r>
      <w:r w:rsidRPr="008E1D6B">
        <w:rPr>
          <w:rFonts w:ascii="Arial" w:hAnsi="宋体" w:cs="Arial" w:hint="eastAsia"/>
          <w:b/>
          <w:sz w:val="30"/>
          <w:szCs w:val="30"/>
        </w:rPr>
        <w:t>年度财务决算报告</w:t>
      </w:r>
    </w:p>
    <w:p w:rsidR="001B5B60" w:rsidRPr="008E1D6B" w:rsidRDefault="001B5B60" w:rsidP="00A70A62">
      <w:pPr>
        <w:pStyle w:val="a7"/>
        <w:spacing w:beforeLines="50" w:before="156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bookmarkStart w:id="0" w:name="_Hlk69336877"/>
      <w:r w:rsidRPr="008E1D6B">
        <w:rPr>
          <w:rFonts w:ascii="Arial" w:hAnsi="宋体" w:cs="Arial"/>
          <w:b/>
          <w:sz w:val="24"/>
          <w:szCs w:val="24"/>
        </w:rPr>
        <w:t>一、</w:t>
      </w:r>
      <w:r w:rsidR="00E56C6E" w:rsidRPr="008E1D6B">
        <w:rPr>
          <w:rFonts w:ascii="Arial" w:hAnsi="宋体" w:cs="Arial"/>
          <w:b/>
          <w:sz w:val="24"/>
          <w:szCs w:val="24"/>
        </w:rPr>
        <w:t>2025</w:t>
      </w:r>
      <w:r w:rsidRPr="008E1D6B">
        <w:rPr>
          <w:rFonts w:ascii="Arial" w:hAnsi="宋体" w:cs="Arial"/>
          <w:b/>
          <w:sz w:val="24"/>
          <w:szCs w:val="24"/>
        </w:rPr>
        <w:t>年度公司财务报表的审计情况</w:t>
      </w:r>
    </w:p>
    <w:p w:rsidR="001B5B60" w:rsidRPr="008E1D6B" w:rsidRDefault="001B5B60" w:rsidP="00A70A62">
      <w:pPr>
        <w:pStyle w:val="a7"/>
        <w:spacing w:line="360" w:lineRule="auto"/>
        <w:ind w:firstLine="480"/>
        <w:rPr>
          <w:rFonts w:ascii="Arial" w:hAnsi="Arial" w:cs="Arial"/>
          <w:sz w:val="24"/>
          <w:szCs w:val="24"/>
        </w:rPr>
      </w:pPr>
      <w:r w:rsidRPr="008E1D6B">
        <w:rPr>
          <w:rFonts w:ascii="Arial" w:hAnsi="Arial" w:cs="Arial"/>
          <w:sz w:val="24"/>
          <w:szCs w:val="24"/>
        </w:rPr>
        <w:t>公司</w:t>
      </w:r>
      <w:r w:rsidRPr="008E1D6B">
        <w:rPr>
          <w:rFonts w:ascii="Arial" w:hAnsi="Arial" w:cs="Arial"/>
          <w:sz w:val="24"/>
          <w:szCs w:val="24"/>
        </w:rPr>
        <w:t>202</w:t>
      </w:r>
      <w:r w:rsidR="00CD2222" w:rsidRPr="008E1D6B">
        <w:rPr>
          <w:rFonts w:ascii="Arial" w:hAnsi="Arial" w:cs="Arial"/>
          <w:sz w:val="24"/>
          <w:szCs w:val="24"/>
        </w:rPr>
        <w:t>5</w:t>
      </w:r>
      <w:r w:rsidRPr="008E1D6B">
        <w:rPr>
          <w:rFonts w:ascii="Arial" w:hAnsi="Arial" w:cs="Arial"/>
          <w:sz w:val="24"/>
          <w:szCs w:val="24"/>
        </w:rPr>
        <w:t>年度财务报表在所有重大方面按照企业会计准则的规定编制，公允反映了公司</w:t>
      </w:r>
      <w:r w:rsidRPr="008E1D6B">
        <w:rPr>
          <w:rFonts w:ascii="Arial" w:hAnsi="Arial" w:cs="Arial"/>
          <w:sz w:val="24"/>
          <w:szCs w:val="24"/>
        </w:rPr>
        <w:t>202</w:t>
      </w:r>
      <w:r w:rsidR="00CD2222" w:rsidRPr="008E1D6B">
        <w:rPr>
          <w:rFonts w:ascii="Arial" w:hAnsi="Arial" w:cs="Arial"/>
          <w:sz w:val="24"/>
          <w:szCs w:val="24"/>
        </w:rPr>
        <w:t>5</w:t>
      </w:r>
      <w:r w:rsidRPr="008E1D6B">
        <w:rPr>
          <w:rFonts w:ascii="Arial" w:hAnsi="Arial" w:cs="Arial"/>
          <w:sz w:val="24"/>
          <w:szCs w:val="24"/>
        </w:rPr>
        <w:t>年</w:t>
      </w:r>
      <w:r w:rsidRPr="008E1D6B">
        <w:rPr>
          <w:rFonts w:ascii="Arial" w:hAnsi="Arial" w:cs="Arial"/>
          <w:sz w:val="24"/>
          <w:szCs w:val="24"/>
        </w:rPr>
        <w:t>12</w:t>
      </w:r>
      <w:r w:rsidRPr="008E1D6B">
        <w:rPr>
          <w:rFonts w:ascii="Arial" w:hAnsi="Arial" w:cs="Arial"/>
          <w:sz w:val="24"/>
          <w:szCs w:val="24"/>
        </w:rPr>
        <w:t>月</w:t>
      </w:r>
      <w:r w:rsidRPr="008E1D6B">
        <w:rPr>
          <w:rFonts w:ascii="Arial" w:hAnsi="Arial" w:cs="Arial"/>
          <w:sz w:val="24"/>
          <w:szCs w:val="24"/>
        </w:rPr>
        <w:t>31</w:t>
      </w:r>
      <w:r w:rsidRPr="008E1D6B">
        <w:rPr>
          <w:rFonts w:ascii="Arial" w:hAnsi="Arial" w:cs="Arial"/>
          <w:sz w:val="24"/>
          <w:szCs w:val="24"/>
        </w:rPr>
        <w:t>日的财务状况以及</w:t>
      </w:r>
      <w:r w:rsidRPr="008E1D6B">
        <w:rPr>
          <w:rFonts w:ascii="Arial" w:hAnsi="Arial" w:cs="Arial"/>
          <w:sz w:val="24"/>
          <w:szCs w:val="24"/>
        </w:rPr>
        <w:t>202</w:t>
      </w:r>
      <w:r w:rsidR="00CD2222" w:rsidRPr="008E1D6B">
        <w:rPr>
          <w:rFonts w:ascii="Arial" w:hAnsi="Arial" w:cs="Arial"/>
          <w:sz w:val="24"/>
          <w:szCs w:val="24"/>
        </w:rPr>
        <w:t>5</w:t>
      </w:r>
      <w:r w:rsidRPr="008E1D6B">
        <w:rPr>
          <w:rFonts w:ascii="Arial" w:hAnsi="Arial" w:cs="Arial"/>
          <w:sz w:val="24"/>
          <w:szCs w:val="24"/>
        </w:rPr>
        <w:t>年度的经营成果和现金流量。公司</w:t>
      </w:r>
      <w:r w:rsidRPr="008E1D6B">
        <w:rPr>
          <w:rFonts w:ascii="Arial" w:hAnsi="Arial" w:cs="Arial"/>
          <w:sz w:val="24"/>
          <w:szCs w:val="24"/>
        </w:rPr>
        <w:t>202</w:t>
      </w:r>
      <w:r w:rsidR="00CD2222" w:rsidRPr="008E1D6B">
        <w:rPr>
          <w:rFonts w:ascii="Arial" w:hAnsi="Arial" w:cs="Arial"/>
          <w:sz w:val="24"/>
          <w:szCs w:val="24"/>
        </w:rPr>
        <w:t>5</w:t>
      </w:r>
      <w:r w:rsidRPr="008E1D6B">
        <w:rPr>
          <w:rFonts w:ascii="Arial" w:hAnsi="Arial" w:cs="Arial"/>
          <w:sz w:val="24"/>
          <w:szCs w:val="24"/>
        </w:rPr>
        <w:t>年度财务报表已经</w:t>
      </w:r>
      <w:r w:rsidR="0068711C" w:rsidRPr="008E1D6B">
        <w:rPr>
          <w:rFonts w:ascii="Arial" w:hAnsi="Arial" w:cs="Arial"/>
          <w:sz w:val="24"/>
          <w:szCs w:val="24"/>
        </w:rPr>
        <w:t>希格玛</w:t>
      </w:r>
      <w:r w:rsidRPr="008E1D6B">
        <w:rPr>
          <w:rFonts w:ascii="Arial" w:hAnsi="Arial" w:cs="Arial"/>
          <w:sz w:val="24"/>
          <w:szCs w:val="24"/>
        </w:rPr>
        <w:t>会计师事务所（特殊普通合伙）审计，并出具了</w:t>
      </w:r>
      <w:r w:rsidR="006B6C07" w:rsidRPr="008E1D6B">
        <w:rPr>
          <w:rFonts w:ascii="Arial" w:hAnsi="Arial" w:cs="Arial" w:hint="eastAsia"/>
          <w:sz w:val="24"/>
          <w:szCs w:val="24"/>
        </w:rPr>
        <w:t>【希会审字（</w:t>
      </w:r>
      <w:r w:rsidR="00E56C6E" w:rsidRPr="008E1D6B">
        <w:rPr>
          <w:rFonts w:ascii="Arial" w:hAnsi="Arial" w:cs="Arial"/>
          <w:sz w:val="24"/>
          <w:szCs w:val="24"/>
        </w:rPr>
        <w:t>2026</w:t>
      </w:r>
      <w:r w:rsidR="006B6C07" w:rsidRPr="008E1D6B">
        <w:rPr>
          <w:rFonts w:ascii="Arial" w:hAnsi="Arial" w:cs="Arial" w:hint="eastAsia"/>
          <w:sz w:val="24"/>
          <w:szCs w:val="24"/>
        </w:rPr>
        <w:t>）</w:t>
      </w:r>
      <w:r w:rsidR="00E56C6E" w:rsidRPr="008E1D6B">
        <w:rPr>
          <w:rFonts w:ascii="Arial" w:hAnsi="Arial" w:cs="Arial"/>
          <w:sz w:val="24"/>
          <w:szCs w:val="24"/>
        </w:rPr>
        <w:t>1169</w:t>
      </w:r>
      <w:r w:rsidR="006B6C07" w:rsidRPr="008E1D6B">
        <w:rPr>
          <w:rFonts w:ascii="Arial" w:hAnsi="Arial" w:cs="Arial" w:hint="eastAsia"/>
          <w:sz w:val="24"/>
          <w:szCs w:val="24"/>
        </w:rPr>
        <w:t>号】</w:t>
      </w:r>
      <w:r w:rsidRPr="008E1D6B">
        <w:rPr>
          <w:rFonts w:ascii="Arial" w:hAnsi="Arial" w:cs="Arial"/>
          <w:sz w:val="24"/>
          <w:szCs w:val="24"/>
        </w:rPr>
        <w:t>标准无保留意见的审计报告。现将公司</w:t>
      </w:r>
      <w:r w:rsidRPr="008E1D6B">
        <w:rPr>
          <w:rFonts w:ascii="Arial" w:hAnsi="Arial" w:cs="Arial"/>
          <w:sz w:val="24"/>
          <w:szCs w:val="24"/>
        </w:rPr>
        <w:t>202</w:t>
      </w:r>
      <w:r w:rsidR="00CD2222" w:rsidRPr="008E1D6B">
        <w:rPr>
          <w:rFonts w:ascii="Arial" w:hAnsi="Arial" w:cs="Arial"/>
          <w:sz w:val="24"/>
          <w:szCs w:val="24"/>
        </w:rPr>
        <w:t>5</w:t>
      </w:r>
      <w:r w:rsidRPr="008E1D6B">
        <w:rPr>
          <w:rFonts w:ascii="Arial" w:hAnsi="Arial" w:cs="Arial" w:hint="eastAsia"/>
          <w:sz w:val="24"/>
          <w:szCs w:val="24"/>
        </w:rPr>
        <w:t>年度财务报</w:t>
      </w:r>
      <w:r w:rsidRPr="008E1D6B">
        <w:rPr>
          <w:rFonts w:ascii="Arial" w:hAnsi="Arial" w:cs="Arial"/>
          <w:sz w:val="24"/>
          <w:szCs w:val="24"/>
        </w:rPr>
        <w:t>表反映的主要财务数据报告如下：</w:t>
      </w:r>
    </w:p>
    <w:p w:rsidR="0068711C" w:rsidRPr="008E1D6B" w:rsidRDefault="001B5B60" w:rsidP="00A70A62">
      <w:pPr>
        <w:pStyle w:val="a7"/>
        <w:spacing w:beforeLines="25" w:before="78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 w:rsidRPr="008E1D6B">
        <w:rPr>
          <w:rFonts w:ascii="Arial" w:hAnsi="宋体" w:cs="Arial"/>
          <w:b/>
          <w:sz w:val="24"/>
          <w:szCs w:val="24"/>
        </w:rPr>
        <w:t>二、</w:t>
      </w:r>
      <w:r w:rsidRPr="008E1D6B">
        <w:rPr>
          <w:rFonts w:ascii="Arial" w:hAnsi="宋体" w:cs="Arial"/>
          <w:b/>
          <w:sz w:val="24"/>
          <w:szCs w:val="24"/>
        </w:rPr>
        <w:t>202</w:t>
      </w:r>
      <w:r w:rsidR="00CD2222" w:rsidRPr="008E1D6B">
        <w:rPr>
          <w:rFonts w:ascii="Arial" w:hAnsi="宋体" w:cs="Arial"/>
          <w:b/>
          <w:sz w:val="24"/>
          <w:szCs w:val="24"/>
        </w:rPr>
        <w:t>5</w:t>
      </w:r>
      <w:r w:rsidRPr="008E1D6B">
        <w:rPr>
          <w:rFonts w:ascii="Arial" w:hAnsi="宋体" w:cs="Arial"/>
          <w:b/>
          <w:sz w:val="24"/>
          <w:szCs w:val="24"/>
        </w:rPr>
        <w:t>年度主要财务指标</w:t>
      </w:r>
    </w:p>
    <w:tbl>
      <w:tblPr>
        <w:tblW w:w="90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751"/>
        <w:gridCol w:w="2319"/>
        <w:gridCol w:w="2198"/>
        <w:gridCol w:w="1756"/>
      </w:tblGrid>
      <w:tr w:rsidR="0068711C" w:rsidRPr="008E1D6B" w:rsidTr="006C3F3C">
        <w:trPr>
          <w:trHeight w:val="397"/>
          <w:jc w:val="center"/>
        </w:trPr>
        <w:tc>
          <w:tcPr>
            <w:tcW w:w="2751" w:type="dxa"/>
            <w:shd w:val="clear" w:color="auto" w:fill="D9D9D9"/>
            <w:vAlign w:val="center"/>
          </w:tcPr>
          <w:p w:rsidR="0068711C" w:rsidRPr="008E1D6B" w:rsidRDefault="0068711C" w:rsidP="0068711C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2319" w:type="dxa"/>
            <w:shd w:val="clear" w:color="auto" w:fill="D9D9D9"/>
            <w:vAlign w:val="center"/>
          </w:tcPr>
          <w:p w:rsidR="0068711C" w:rsidRPr="008E1D6B" w:rsidRDefault="0068711C" w:rsidP="00CD2222">
            <w:pPr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bCs/>
                <w:kern w:val="0"/>
                <w:szCs w:val="21"/>
              </w:rPr>
              <w:t>202</w:t>
            </w:r>
            <w:r w:rsidR="00CD2222" w:rsidRPr="008E1D6B">
              <w:rPr>
                <w:rFonts w:eastAsiaTheme="minorEastAsia"/>
                <w:b/>
                <w:bCs/>
                <w:kern w:val="0"/>
                <w:szCs w:val="21"/>
              </w:rPr>
              <w:t>5</w:t>
            </w:r>
            <w:r w:rsidRPr="008E1D6B">
              <w:rPr>
                <w:rFonts w:eastAsiaTheme="minor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2198" w:type="dxa"/>
            <w:shd w:val="clear" w:color="auto" w:fill="D9D9D9"/>
            <w:vAlign w:val="center"/>
          </w:tcPr>
          <w:p w:rsidR="0068711C" w:rsidRPr="008E1D6B" w:rsidRDefault="0068711C" w:rsidP="00CD2222">
            <w:pPr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bCs/>
                <w:kern w:val="0"/>
                <w:szCs w:val="21"/>
              </w:rPr>
              <w:t>202</w:t>
            </w:r>
            <w:r w:rsidR="00CD2222" w:rsidRPr="008E1D6B">
              <w:rPr>
                <w:rFonts w:eastAsiaTheme="minorEastAsia"/>
                <w:b/>
                <w:bCs/>
                <w:kern w:val="0"/>
                <w:szCs w:val="21"/>
              </w:rPr>
              <w:t>4</w:t>
            </w:r>
            <w:r w:rsidRPr="008E1D6B">
              <w:rPr>
                <w:rFonts w:eastAsiaTheme="minor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1756" w:type="dxa"/>
            <w:shd w:val="clear" w:color="auto" w:fill="D9D9D9"/>
            <w:vAlign w:val="center"/>
          </w:tcPr>
          <w:p w:rsidR="0068711C" w:rsidRPr="008E1D6B" w:rsidRDefault="0068711C" w:rsidP="0068711C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bCs/>
                <w:kern w:val="0"/>
                <w:szCs w:val="21"/>
              </w:rPr>
              <w:t>增减变动幅度</w:t>
            </w:r>
          </w:p>
        </w:tc>
      </w:tr>
      <w:tr w:rsidR="00CD2222" w:rsidRPr="008E1D6B" w:rsidTr="006C3F3C">
        <w:trPr>
          <w:trHeight w:val="397"/>
          <w:jc w:val="center"/>
        </w:trPr>
        <w:tc>
          <w:tcPr>
            <w:tcW w:w="2751" w:type="dxa"/>
            <w:shd w:val="clear" w:color="auto" w:fill="D9D9D9"/>
            <w:vAlign w:val="center"/>
          </w:tcPr>
          <w:p w:rsidR="00CD2222" w:rsidRPr="008E1D6B" w:rsidRDefault="00CD2222" w:rsidP="006C3F3C">
            <w:pPr>
              <w:widowControl/>
              <w:adjustRightInd w:val="0"/>
              <w:snapToGrid w:val="0"/>
              <w:spacing w:beforeLines="15" w:before="46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营业收入（元）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1,385,084,574.67</w:t>
            </w:r>
          </w:p>
        </w:tc>
        <w:tc>
          <w:tcPr>
            <w:tcW w:w="2198" w:type="dxa"/>
            <w:shd w:val="clear" w:color="000000" w:fill="FFFFFF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1,705,674,597.38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D2222" w:rsidRPr="008E1D6B" w:rsidRDefault="00CD2222" w:rsidP="00CD2222">
            <w:pPr>
              <w:jc w:val="right"/>
            </w:pPr>
            <w:r w:rsidRPr="008E1D6B">
              <w:t>-18.80%</w:t>
            </w:r>
          </w:p>
        </w:tc>
      </w:tr>
      <w:tr w:rsidR="00CD2222" w:rsidRPr="008E1D6B" w:rsidTr="006C3F3C">
        <w:trPr>
          <w:trHeight w:val="397"/>
          <w:jc w:val="center"/>
        </w:trPr>
        <w:tc>
          <w:tcPr>
            <w:tcW w:w="2751" w:type="dxa"/>
            <w:shd w:val="clear" w:color="auto" w:fill="D9D9D9"/>
            <w:vAlign w:val="center"/>
          </w:tcPr>
          <w:p w:rsidR="00CD2222" w:rsidRPr="008E1D6B" w:rsidRDefault="00CD2222" w:rsidP="006C3F3C">
            <w:pPr>
              <w:widowControl/>
              <w:adjustRightInd w:val="0"/>
              <w:snapToGrid w:val="0"/>
              <w:spacing w:beforeLines="15" w:before="46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营业利润（元）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57,101,894.29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70,968,770.41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-19.54%</w:t>
            </w:r>
          </w:p>
        </w:tc>
      </w:tr>
      <w:tr w:rsidR="00CD2222" w:rsidRPr="008E1D6B" w:rsidTr="006C3F3C">
        <w:trPr>
          <w:trHeight w:val="397"/>
          <w:jc w:val="center"/>
        </w:trPr>
        <w:tc>
          <w:tcPr>
            <w:tcW w:w="2751" w:type="dxa"/>
            <w:shd w:val="clear" w:color="auto" w:fill="D9D9D9"/>
            <w:vAlign w:val="center"/>
          </w:tcPr>
          <w:p w:rsidR="00CD2222" w:rsidRPr="008E1D6B" w:rsidRDefault="00CD2222" w:rsidP="006C3F3C">
            <w:pPr>
              <w:widowControl/>
              <w:adjustRightInd w:val="0"/>
              <w:snapToGrid w:val="0"/>
              <w:spacing w:beforeLines="15" w:before="46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归属于上市公司股东的净利润（元）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54,113,848.48</w:t>
            </w:r>
          </w:p>
        </w:tc>
        <w:tc>
          <w:tcPr>
            <w:tcW w:w="2198" w:type="dxa"/>
            <w:shd w:val="clear" w:color="000000" w:fill="FFFFFF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68,398,464.80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D2222" w:rsidRPr="008E1D6B" w:rsidRDefault="00CD2222" w:rsidP="00CD2222">
            <w:pPr>
              <w:jc w:val="right"/>
            </w:pPr>
            <w:r w:rsidRPr="008E1D6B">
              <w:t>-20.88%</w:t>
            </w:r>
          </w:p>
        </w:tc>
      </w:tr>
      <w:tr w:rsidR="00CD2222" w:rsidRPr="008E1D6B" w:rsidTr="006C3F3C">
        <w:trPr>
          <w:trHeight w:val="397"/>
          <w:jc w:val="center"/>
        </w:trPr>
        <w:tc>
          <w:tcPr>
            <w:tcW w:w="2751" w:type="dxa"/>
            <w:shd w:val="clear" w:color="auto" w:fill="D9D9D9"/>
            <w:vAlign w:val="center"/>
          </w:tcPr>
          <w:p w:rsidR="00CD2222" w:rsidRPr="008E1D6B" w:rsidRDefault="00CD2222" w:rsidP="006C3F3C">
            <w:pPr>
              <w:widowControl/>
              <w:adjustRightInd w:val="0"/>
              <w:snapToGrid w:val="0"/>
              <w:spacing w:beforeLines="15" w:before="46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归属于上市公司股东的扣除非经常性损益的净利润（元）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16,439,437.55</w:t>
            </w:r>
          </w:p>
        </w:tc>
        <w:tc>
          <w:tcPr>
            <w:tcW w:w="2198" w:type="dxa"/>
            <w:shd w:val="clear" w:color="000000" w:fill="FFFFFF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58,068,168.67</w:t>
            </w:r>
          </w:p>
        </w:tc>
        <w:tc>
          <w:tcPr>
            <w:tcW w:w="1756" w:type="dxa"/>
            <w:shd w:val="clear" w:color="000000" w:fill="FFFFFF"/>
            <w:vAlign w:val="center"/>
          </w:tcPr>
          <w:p w:rsidR="00CD2222" w:rsidRPr="008E1D6B" w:rsidRDefault="00CD2222" w:rsidP="00CD2222">
            <w:pPr>
              <w:jc w:val="right"/>
            </w:pPr>
            <w:r w:rsidRPr="008E1D6B">
              <w:t>-71.69%</w:t>
            </w:r>
          </w:p>
        </w:tc>
      </w:tr>
      <w:tr w:rsidR="00CD2222" w:rsidRPr="008E1D6B" w:rsidTr="006C3F3C">
        <w:trPr>
          <w:trHeight w:val="397"/>
          <w:jc w:val="center"/>
        </w:trPr>
        <w:tc>
          <w:tcPr>
            <w:tcW w:w="2751" w:type="dxa"/>
            <w:shd w:val="clear" w:color="auto" w:fill="D9D9D9"/>
            <w:vAlign w:val="center"/>
          </w:tcPr>
          <w:p w:rsidR="00CD2222" w:rsidRPr="008E1D6B" w:rsidRDefault="00CD2222" w:rsidP="006C3F3C">
            <w:pPr>
              <w:widowControl/>
              <w:adjustRightInd w:val="0"/>
              <w:snapToGrid w:val="0"/>
              <w:spacing w:beforeLines="15" w:before="46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经营活动产生的现金流量净额（元）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szCs w:val="21"/>
              </w:rPr>
              <w:t>-133,240,681.09</w:t>
            </w:r>
          </w:p>
        </w:tc>
        <w:tc>
          <w:tcPr>
            <w:tcW w:w="2198" w:type="dxa"/>
            <w:shd w:val="clear" w:color="000000" w:fill="FFFFFF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szCs w:val="21"/>
              </w:rPr>
              <w:t>302,865,233.07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D2222" w:rsidRPr="008E1D6B" w:rsidRDefault="00CD2222" w:rsidP="00CD2222">
            <w:pPr>
              <w:jc w:val="right"/>
            </w:pPr>
            <w:r w:rsidRPr="008E1D6B">
              <w:t>-143.99%</w:t>
            </w:r>
          </w:p>
        </w:tc>
      </w:tr>
      <w:tr w:rsidR="00E52F8D" w:rsidRPr="008E1D6B" w:rsidTr="006C3F3C">
        <w:trPr>
          <w:trHeight w:val="397"/>
          <w:jc w:val="center"/>
        </w:trPr>
        <w:tc>
          <w:tcPr>
            <w:tcW w:w="2751" w:type="dxa"/>
            <w:shd w:val="clear" w:color="auto" w:fill="D9D9D9"/>
            <w:vAlign w:val="center"/>
          </w:tcPr>
          <w:p w:rsidR="00E52F8D" w:rsidRPr="008E1D6B" w:rsidRDefault="00E52F8D" w:rsidP="006C3F3C">
            <w:pPr>
              <w:widowControl/>
              <w:adjustRightInd w:val="0"/>
              <w:snapToGrid w:val="0"/>
              <w:spacing w:beforeLines="15" w:before="46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基本每股收益（元</w:t>
            </w:r>
            <w:r w:rsidRPr="008E1D6B">
              <w:rPr>
                <w:rFonts w:eastAsiaTheme="minorEastAsia"/>
                <w:kern w:val="0"/>
                <w:szCs w:val="21"/>
              </w:rPr>
              <w:t>/</w:t>
            </w:r>
            <w:r w:rsidRPr="008E1D6B">
              <w:rPr>
                <w:rFonts w:eastAsiaTheme="minorEastAsia"/>
                <w:kern w:val="0"/>
                <w:szCs w:val="21"/>
              </w:rPr>
              <w:t>股）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:rsidR="00E52F8D" w:rsidRPr="008E1D6B" w:rsidRDefault="00E52F8D" w:rsidP="00E52F8D">
            <w:pPr>
              <w:jc w:val="right"/>
            </w:pPr>
            <w:r w:rsidRPr="008E1D6B">
              <w:t>0.2217</w:t>
            </w:r>
          </w:p>
        </w:tc>
        <w:tc>
          <w:tcPr>
            <w:tcW w:w="2198" w:type="dxa"/>
            <w:shd w:val="clear" w:color="000000" w:fill="FFFFFF"/>
            <w:vAlign w:val="center"/>
          </w:tcPr>
          <w:p w:rsidR="00E52F8D" w:rsidRPr="008E1D6B" w:rsidRDefault="00E52F8D" w:rsidP="00E52F8D">
            <w:pPr>
              <w:jc w:val="right"/>
            </w:pPr>
            <w:r w:rsidRPr="008E1D6B">
              <w:t>0.2808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F8D" w:rsidRPr="008E1D6B" w:rsidRDefault="00E52F8D" w:rsidP="00E52F8D">
            <w:pPr>
              <w:jc w:val="right"/>
            </w:pPr>
            <w:r w:rsidRPr="008E1D6B">
              <w:t>-21.05%</w:t>
            </w:r>
          </w:p>
        </w:tc>
      </w:tr>
      <w:tr w:rsidR="00E52F8D" w:rsidRPr="008E1D6B" w:rsidTr="006C3F3C">
        <w:trPr>
          <w:trHeight w:val="397"/>
          <w:jc w:val="center"/>
        </w:trPr>
        <w:tc>
          <w:tcPr>
            <w:tcW w:w="2751" w:type="dxa"/>
            <w:shd w:val="clear" w:color="auto" w:fill="D9D9D9"/>
            <w:vAlign w:val="center"/>
          </w:tcPr>
          <w:p w:rsidR="00E52F8D" w:rsidRPr="008E1D6B" w:rsidRDefault="00E52F8D" w:rsidP="006C3F3C">
            <w:pPr>
              <w:widowControl/>
              <w:adjustRightInd w:val="0"/>
              <w:snapToGrid w:val="0"/>
              <w:spacing w:beforeLines="15" w:before="46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稀释每股收益（元</w:t>
            </w:r>
            <w:r w:rsidRPr="008E1D6B">
              <w:rPr>
                <w:rFonts w:eastAsiaTheme="minorEastAsia"/>
                <w:kern w:val="0"/>
                <w:szCs w:val="21"/>
              </w:rPr>
              <w:t>/</w:t>
            </w:r>
            <w:r w:rsidRPr="008E1D6B">
              <w:rPr>
                <w:rFonts w:eastAsiaTheme="minorEastAsia"/>
                <w:kern w:val="0"/>
                <w:szCs w:val="21"/>
              </w:rPr>
              <w:t>股）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:rsidR="00E52F8D" w:rsidRPr="008E1D6B" w:rsidRDefault="00E52F8D" w:rsidP="00E52F8D">
            <w:pPr>
              <w:jc w:val="right"/>
            </w:pPr>
            <w:r w:rsidRPr="008E1D6B">
              <w:t>0.2217</w:t>
            </w:r>
          </w:p>
        </w:tc>
        <w:tc>
          <w:tcPr>
            <w:tcW w:w="2198" w:type="dxa"/>
            <w:shd w:val="clear" w:color="000000" w:fill="FFFFFF"/>
            <w:vAlign w:val="center"/>
          </w:tcPr>
          <w:p w:rsidR="00E52F8D" w:rsidRPr="008E1D6B" w:rsidRDefault="00E52F8D" w:rsidP="0035466C">
            <w:pPr>
              <w:jc w:val="right"/>
            </w:pPr>
            <w:r w:rsidRPr="008E1D6B">
              <w:t>0.280</w:t>
            </w:r>
            <w:r w:rsidR="0035466C" w:rsidRPr="008E1D6B">
              <w:t>7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F8D" w:rsidRPr="008E1D6B" w:rsidRDefault="00E52F8D" w:rsidP="00A459A5">
            <w:pPr>
              <w:jc w:val="right"/>
            </w:pPr>
            <w:r w:rsidRPr="008E1D6B">
              <w:t>-21.0</w:t>
            </w:r>
            <w:r w:rsidR="00A459A5" w:rsidRPr="008E1D6B">
              <w:t>2</w:t>
            </w:r>
            <w:r w:rsidRPr="008E1D6B">
              <w:t>%</w:t>
            </w:r>
          </w:p>
        </w:tc>
      </w:tr>
      <w:tr w:rsidR="00E52F8D" w:rsidRPr="008E1D6B" w:rsidTr="006C3F3C">
        <w:trPr>
          <w:trHeight w:val="397"/>
          <w:jc w:val="center"/>
        </w:trPr>
        <w:tc>
          <w:tcPr>
            <w:tcW w:w="2751" w:type="dxa"/>
            <w:shd w:val="clear" w:color="auto" w:fill="D9D9D9"/>
            <w:vAlign w:val="center"/>
          </w:tcPr>
          <w:p w:rsidR="00E52F8D" w:rsidRPr="008E1D6B" w:rsidRDefault="00E52F8D" w:rsidP="006C3F3C">
            <w:pPr>
              <w:widowControl/>
              <w:adjustRightInd w:val="0"/>
              <w:snapToGrid w:val="0"/>
              <w:spacing w:beforeLines="15" w:before="46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加权平均净资产收益率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:rsidR="00E52F8D" w:rsidRPr="008E1D6B" w:rsidRDefault="00E52F8D" w:rsidP="00E52F8D">
            <w:pPr>
              <w:jc w:val="right"/>
            </w:pPr>
            <w:r w:rsidRPr="008E1D6B">
              <w:t>3.65%</w:t>
            </w:r>
          </w:p>
        </w:tc>
        <w:tc>
          <w:tcPr>
            <w:tcW w:w="2198" w:type="dxa"/>
            <w:shd w:val="clear" w:color="000000" w:fill="FFFFFF"/>
            <w:vAlign w:val="center"/>
          </w:tcPr>
          <w:p w:rsidR="00E52F8D" w:rsidRPr="008E1D6B" w:rsidRDefault="00E52F8D" w:rsidP="00E52F8D">
            <w:pPr>
              <w:jc w:val="right"/>
            </w:pPr>
            <w:r w:rsidRPr="008E1D6B">
              <w:t>4.75%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F8D" w:rsidRPr="008E1D6B" w:rsidRDefault="00E52F8D" w:rsidP="00E52F8D">
            <w:pPr>
              <w:jc w:val="right"/>
            </w:pPr>
            <w:r w:rsidRPr="008E1D6B">
              <w:t>-1.10%</w:t>
            </w:r>
          </w:p>
        </w:tc>
      </w:tr>
      <w:tr w:rsidR="00CD2222" w:rsidRPr="008E1D6B" w:rsidTr="006C3F3C">
        <w:trPr>
          <w:trHeight w:val="397"/>
          <w:jc w:val="center"/>
        </w:trPr>
        <w:tc>
          <w:tcPr>
            <w:tcW w:w="2751" w:type="dxa"/>
            <w:shd w:val="clear" w:color="auto" w:fill="D9D9D9"/>
            <w:vAlign w:val="center"/>
          </w:tcPr>
          <w:p w:rsidR="00CD2222" w:rsidRPr="008E1D6B" w:rsidRDefault="00CD2222" w:rsidP="006C3F3C">
            <w:pPr>
              <w:widowControl/>
              <w:adjustRightInd w:val="0"/>
              <w:snapToGrid w:val="0"/>
              <w:spacing w:beforeLines="15" w:before="46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资产总额（元）</w:t>
            </w:r>
          </w:p>
        </w:tc>
        <w:tc>
          <w:tcPr>
            <w:tcW w:w="2319" w:type="dxa"/>
            <w:shd w:val="clear" w:color="000000" w:fill="FFFFFF"/>
            <w:noWrap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szCs w:val="21"/>
              </w:rPr>
              <w:t>2,587,024,570.03</w:t>
            </w:r>
          </w:p>
        </w:tc>
        <w:tc>
          <w:tcPr>
            <w:tcW w:w="2198" w:type="dxa"/>
            <w:shd w:val="clear" w:color="000000" w:fill="FFFFFF"/>
            <w:noWrap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szCs w:val="21"/>
              </w:rPr>
              <w:t>2,407,259,568.78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D2222" w:rsidRPr="008E1D6B" w:rsidRDefault="00CD2222" w:rsidP="00CD2222">
            <w:pPr>
              <w:jc w:val="right"/>
            </w:pPr>
            <w:r w:rsidRPr="008E1D6B">
              <w:t>7.47%</w:t>
            </w:r>
          </w:p>
        </w:tc>
      </w:tr>
      <w:tr w:rsidR="00CD2222" w:rsidRPr="008E1D6B" w:rsidTr="006C3F3C">
        <w:trPr>
          <w:trHeight w:val="397"/>
          <w:jc w:val="center"/>
        </w:trPr>
        <w:tc>
          <w:tcPr>
            <w:tcW w:w="2751" w:type="dxa"/>
            <w:shd w:val="clear" w:color="auto" w:fill="D9D9D9"/>
            <w:vAlign w:val="center"/>
          </w:tcPr>
          <w:p w:rsidR="00CD2222" w:rsidRPr="008E1D6B" w:rsidRDefault="00CD2222" w:rsidP="006C3F3C">
            <w:pPr>
              <w:widowControl/>
              <w:adjustRightInd w:val="0"/>
              <w:snapToGrid w:val="0"/>
              <w:spacing w:beforeLines="15" w:before="46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归属于上市公司股东的净资产（元）</w:t>
            </w:r>
          </w:p>
        </w:tc>
        <w:tc>
          <w:tcPr>
            <w:tcW w:w="2319" w:type="dxa"/>
            <w:shd w:val="clear" w:color="000000" w:fill="FFFFFF"/>
            <w:vAlign w:val="center"/>
          </w:tcPr>
          <w:p w:rsidR="00CD2222" w:rsidRPr="008E1D6B" w:rsidRDefault="002B04E3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1,500,091,363.12</w:t>
            </w:r>
          </w:p>
        </w:tc>
        <w:tc>
          <w:tcPr>
            <w:tcW w:w="2198" w:type="dxa"/>
            <w:shd w:val="clear" w:color="000000" w:fill="FFFFFF"/>
            <w:vAlign w:val="center"/>
          </w:tcPr>
          <w:p w:rsidR="00CD2222" w:rsidRPr="008E1D6B" w:rsidRDefault="00CD2222" w:rsidP="00CD2222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1,461,650,891.34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D2222" w:rsidRPr="008E1D6B" w:rsidRDefault="00CD2222" w:rsidP="002B04E3">
            <w:pPr>
              <w:jc w:val="right"/>
            </w:pPr>
            <w:r w:rsidRPr="008E1D6B">
              <w:t>2.6</w:t>
            </w:r>
            <w:r w:rsidR="002B04E3" w:rsidRPr="008E1D6B">
              <w:t>3</w:t>
            </w:r>
            <w:r w:rsidRPr="008E1D6B">
              <w:t>%</w:t>
            </w:r>
          </w:p>
        </w:tc>
      </w:tr>
    </w:tbl>
    <w:p w:rsidR="001B5B60" w:rsidRPr="008E1D6B" w:rsidRDefault="001B5B60" w:rsidP="00A70A62">
      <w:pPr>
        <w:pStyle w:val="a7"/>
        <w:spacing w:beforeLines="25" w:before="78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 w:rsidRPr="008E1D6B">
        <w:rPr>
          <w:rFonts w:ascii="Arial" w:hAnsi="宋体" w:cs="Arial"/>
          <w:b/>
          <w:sz w:val="24"/>
          <w:szCs w:val="24"/>
        </w:rPr>
        <w:t>三、</w:t>
      </w:r>
      <w:r w:rsidRPr="008E1D6B">
        <w:rPr>
          <w:rFonts w:ascii="Arial" w:hAnsi="宋体" w:cs="Arial"/>
          <w:b/>
          <w:sz w:val="24"/>
          <w:szCs w:val="24"/>
        </w:rPr>
        <w:t>202</w:t>
      </w:r>
      <w:r w:rsidR="00CD2222" w:rsidRPr="008E1D6B">
        <w:rPr>
          <w:rFonts w:ascii="Arial" w:hAnsi="宋体" w:cs="Arial"/>
          <w:b/>
          <w:sz w:val="24"/>
          <w:szCs w:val="24"/>
        </w:rPr>
        <w:t>5</w:t>
      </w:r>
      <w:r w:rsidRPr="008E1D6B">
        <w:rPr>
          <w:rFonts w:ascii="Arial" w:hAnsi="宋体" w:cs="Arial"/>
          <w:b/>
          <w:sz w:val="24"/>
          <w:szCs w:val="24"/>
        </w:rPr>
        <w:t>年度财务状况</w:t>
      </w:r>
    </w:p>
    <w:p w:rsidR="001B5B60" w:rsidRPr="008E1D6B" w:rsidRDefault="001B5B60" w:rsidP="00A70A62">
      <w:pPr>
        <w:spacing w:beforeLines="25" w:before="78" w:line="360" w:lineRule="auto"/>
        <w:ind w:firstLine="482"/>
        <w:outlineLvl w:val="1"/>
        <w:rPr>
          <w:rFonts w:ascii="Arial" w:hAnsi="Arial" w:cs="Arial"/>
          <w:b/>
          <w:sz w:val="24"/>
          <w:szCs w:val="24"/>
        </w:rPr>
      </w:pPr>
      <w:r w:rsidRPr="008E1D6B">
        <w:rPr>
          <w:rFonts w:ascii="Arial" w:hAnsi="Arial" w:cs="Arial"/>
          <w:b/>
          <w:sz w:val="24"/>
          <w:szCs w:val="24"/>
        </w:rPr>
        <w:t>（一）资产项目变动情况</w:t>
      </w:r>
    </w:p>
    <w:p w:rsidR="0068711C" w:rsidRPr="008E1D6B" w:rsidRDefault="001B5B60" w:rsidP="001B5B60">
      <w:pPr>
        <w:ind w:firstLine="480"/>
        <w:jc w:val="right"/>
        <w:rPr>
          <w:rFonts w:asciiTheme="minorEastAsia" w:eastAsiaTheme="minorEastAsia" w:hAnsiTheme="minorEastAsia" w:cs="Arial"/>
          <w:szCs w:val="21"/>
        </w:rPr>
      </w:pPr>
      <w:r w:rsidRPr="008E1D6B">
        <w:rPr>
          <w:rFonts w:asciiTheme="minorEastAsia" w:eastAsiaTheme="minorEastAsia" w:hAnsiTheme="minorEastAsia" w:cs="Arial"/>
          <w:szCs w:val="21"/>
        </w:rPr>
        <w:t>单位：元</w:t>
      </w:r>
    </w:p>
    <w:tbl>
      <w:tblPr>
        <w:tblW w:w="897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450"/>
        <w:gridCol w:w="2410"/>
        <w:gridCol w:w="2410"/>
        <w:gridCol w:w="1701"/>
      </w:tblGrid>
      <w:tr w:rsidR="0068711C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68711C" w:rsidRPr="008E1D6B" w:rsidRDefault="0068711C" w:rsidP="0068711C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2410" w:type="dxa"/>
            <w:shd w:val="clear" w:color="000000" w:fill="D9D9D9"/>
            <w:noWrap/>
            <w:vAlign w:val="center"/>
          </w:tcPr>
          <w:p w:rsidR="0068711C" w:rsidRPr="008E1D6B" w:rsidRDefault="0068711C" w:rsidP="008C4C3D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bCs/>
                <w:kern w:val="0"/>
                <w:szCs w:val="21"/>
              </w:rPr>
              <w:t>202</w:t>
            </w:r>
            <w:r w:rsidR="008C4C3D" w:rsidRPr="008E1D6B">
              <w:rPr>
                <w:rFonts w:eastAsiaTheme="minorEastAsia"/>
                <w:b/>
                <w:bCs/>
                <w:kern w:val="0"/>
                <w:szCs w:val="21"/>
              </w:rPr>
              <w:t>5</w:t>
            </w:r>
            <w:r w:rsidRPr="008E1D6B">
              <w:rPr>
                <w:rFonts w:eastAsiaTheme="minorEastAsia" w:hint="eastAsia"/>
                <w:b/>
                <w:bCs/>
                <w:kern w:val="0"/>
                <w:szCs w:val="21"/>
              </w:rPr>
              <w:t>年末</w:t>
            </w:r>
          </w:p>
        </w:tc>
        <w:tc>
          <w:tcPr>
            <w:tcW w:w="2410" w:type="dxa"/>
            <w:shd w:val="clear" w:color="000000" w:fill="D9D9D9"/>
            <w:noWrap/>
            <w:vAlign w:val="center"/>
          </w:tcPr>
          <w:p w:rsidR="0068711C" w:rsidRPr="008E1D6B" w:rsidRDefault="0068711C" w:rsidP="008C4C3D">
            <w:pPr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bCs/>
                <w:kern w:val="0"/>
                <w:szCs w:val="21"/>
              </w:rPr>
              <w:t>202</w:t>
            </w:r>
            <w:r w:rsidR="008C4C3D" w:rsidRPr="008E1D6B">
              <w:rPr>
                <w:rFonts w:eastAsiaTheme="minorEastAsia"/>
                <w:b/>
                <w:bCs/>
                <w:kern w:val="0"/>
                <w:szCs w:val="21"/>
              </w:rPr>
              <w:t>4</w:t>
            </w:r>
            <w:r w:rsidRPr="008E1D6B">
              <w:rPr>
                <w:rFonts w:eastAsiaTheme="minorEastAsia" w:hint="eastAsia"/>
                <w:b/>
                <w:bCs/>
                <w:kern w:val="0"/>
                <w:szCs w:val="21"/>
              </w:rPr>
              <w:t>年末</w:t>
            </w:r>
          </w:p>
        </w:tc>
        <w:tc>
          <w:tcPr>
            <w:tcW w:w="1701" w:type="dxa"/>
            <w:shd w:val="clear" w:color="000000" w:fill="D9D9D9"/>
            <w:noWrap/>
            <w:vAlign w:val="center"/>
          </w:tcPr>
          <w:p w:rsidR="0068711C" w:rsidRPr="008E1D6B" w:rsidRDefault="0068711C" w:rsidP="0068711C">
            <w:pPr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8E1D6B">
              <w:rPr>
                <w:rFonts w:eastAsiaTheme="minorEastAsia" w:hint="eastAsia"/>
                <w:b/>
                <w:bCs/>
                <w:kern w:val="0"/>
                <w:szCs w:val="21"/>
              </w:rPr>
              <w:t>增减变动幅度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货币资金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widowControl/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611,930,736.38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801,625,630.51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-23.66%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应收账款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893,122,429.03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659,476,028.68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35.43%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应收款项融资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21,708,597.23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54,490,495.58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-60.16%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预付款项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47,675,105.37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24,080,514.94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97.98%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其他应收款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23,410,505.83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5,569,508.75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320.33%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lastRenderedPageBreak/>
              <w:t>合同资产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184,097,618.37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143,521,797.21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28.27%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存货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346,708,291.40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260,514,391.74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33.09%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其他流动资产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740,158.73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24,799.33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2884.59%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b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kern w:val="0"/>
                <w:szCs w:val="21"/>
              </w:rPr>
              <w:t>流动资产合计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2,129,393,442.34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1,949,303,166.74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9.24%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 w:hint="eastAsia"/>
                <w:kern w:val="0"/>
                <w:szCs w:val="21"/>
              </w:rPr>
              <w:t>其他非流动金融资产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854,116.36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50,186.60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1601.88%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固定资产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330,955,984.04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342,102,745.33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-3.26%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在建工程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6079507.05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100.00%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使用权资产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1,171,556.18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2,449,617.50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-52.17%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无形资产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81,907,935.70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82,652,166.24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-0.90%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递延所得税资产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34,045,078.52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29,460,754.70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15.56%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其他非流动资产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2,616,949.84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1,240,931.67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110.89%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b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kern w:val="0"/>
                <w:szCs w:val="21"/>
              </w:rPr>
              <w:t>非流动资产合计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457,631,127.69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457,956,402.04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-0.07%</w:t>
            </w:r>
          </w:p>
        </w:tc>
      </w:tr>
      <w:tr w:rsidR="008C4C3D" w:rsidRPr="008E1D6B" w:rsidTr="008E1D6B">
        <w:trPr>
          <w:trHeight w:val="369"/>
          <w:jc w:val="center"/>
        </w:trPr>
        <w:tc>
          <w:tcPr>
            <w:tcW w:w="2450" w:type="dxa"/>
            <w:shd w:val="clear" w:color="auto" w:fill="D9D9D9"/>
            <w:noWrap/>
            <w:vAlign w:val="center"/>
          </w:tcPr>
          <w:p w:rsidR="008C4C3D" w:rsidRPr="008E1D6B" w:rsidRDefault="008C4C3D" w:rsidP="008C4C3D">
            <w:pPr>
              <w:widowControl/>
              <w:adjustRightInd w:val="0"/>
              <w:snapToGrid w:val="0"/>
              <w:jc w:val="left"/>
              <w:rPr>
                <w:rFonts w:eastAsiaTheme="minorEastAsia"/>
                <w:b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kern w:val="0"/>
                <w:szCs w:val="21"/>
              </w:rPr>
              <w:t>资产总计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2,587,024,570.03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2,407,259,568.78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C3D" w:rsidRPr="008E1D6B" w:rsidRDefault="008C4C3D" w:rsidP="008C4C3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7.47%</w:t>
            </w:r>
          </w:p>
        </w:tc>
      </w:tr>
    </w:tbl>
    <w:p w:rsidR="001B5B60" w:rsidRPr="008E1D6B" w:rsidRDefault="001B5B60" w:rsidP="001B5B60">
      <w:pPr>
        <w:spacing w:line="520" w:lineRule="exact"/>
        <w:ind w:firstLine="562"/>
        <w:rPr>
          <w:rFonts w:eastAsiaTheme="minorEastAsia"/>
          <w:b/>
          <w:sz w:val="24"/>
          <w:szCs w:val="24"/>
        </w:rPr>
      </w:pPr>
      <w:r w:rsidRPr="008E1D6B">
        <w:rPr>
          <w:rFonts w:eastAsiaTheme="minorEastAsia"/>
          <w:b/>
          <w:sz w:val="24"/>
          <w:szCs w:val="24"/>
        </w:rPr>
        <w:t>主要变动项目分析：</w:t>
      </w:r>
    </w:p>
    <w:p w:rsidR="006B6C07" w:rsidRPr="008E1D6B" w:rsidRDefault="006B6C07" w:rsidP="008E1D6B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 w:hint="eastAsia"/>
          <w:sz w:val="24"/>
          <w:szCs w:val="24"/>
        </w:rPr>
        <w:t>1</w:t>
      </w:r>
      <w:r w:rsidRPr="008E1D6B">
        <w:rPr>
          <w:rFonts w:ascii="Arial" w:eastAsiaTheme="minorEastAsia" w:hAnsi="Arial" w:cs="Arial" w:hint="eastAsia"/>
          <w:sz w:val="24"/>
          <w:szCs w:val="24"/>
        </w:rPr>
        <w:t>、应收</w:t>
      </w:r>
      <w:proofErr w:type="gramStart"/>
      <w:r w:rsidRPr="008E1D6B">
        <w:rPr>
          <w:rFonts w:ascii="Arial" w:eastAsiaTheme="minorEastAsia" w:hAnsi="Arial" w:cs="Arial" w:hint="eastAsia"/>
          <w:sz w:val="24"/>
          <w:szCs w:val="24"/>
        </w:rPr>
        <w:t>账款较</w:t>
      </w:r>
      <w:proofErr w:type="gramEnd"/>
      <w:r w:rsidRPr="008E1D6B">
        <w:rPr>
          <w:rFonts w:ascii="Arial" w:eastAsiaTheme="minorEastAsia" w:hAnsi="Arial" w:cs="Arial" w:hint="eastAsia"/>
          <w:sz w:val="24"/>
          <w:szCs w:val="24"/>
        </w:rPr>
        <w:t>年初增加</w:t>
      </w:r>
      <w:r w:rsidR="002F41AA" w:rsidRPr="008E1D6B">
        <w:rPr>
          <w:rFonts w:ascii="Arial" w:eastAsiaTheme="minorEastAsia" w:hAnsi="Arial" w:cs="Arial"/>
          <w:sz w:val="24"/>
          <w:szCs w:val="24"/>
        </w:rPr>
        <w:t>35.43</w:t>
      </w:r>
      <w:r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Pr="008E1D6B">
        <w:rPr>
          <w:rFonts w:ascii="Arial" w:eastAsiaTheme="minorEastAsia" w:hAnsi="Arial" w:cs="Arial" w:hint="eastAsia"/>
          <w:sz w:val="24"/>
          <w:szCs w:val="24"/>
        </w:rPr>
        <w:t>，主要原因是</w:t>
      </w:r>
      <w:r w:rsidR="003E3618" w:rsidRPr="008E1D6B">
        <w:rPr>
          <w:rFonts w:ascii="Arial" w:eastAsiaTheme="minorEastAsia" w:hAnsi="Arial" w:cs="Arial" w:hint="eastAsia"/>
          <w:sz w:val="24"/>
          <w:szCs w:val="24"/>
        </w:rPr>
        <w:t>按照合同约定的节点收款所致。</w:t>
      </w:r>
    </w:p>
    <w:p w:rsidR="006B6C07" w:rsidRPr="008E1D6B" w:rsidRDefault="002F41AA" w:rsidP="008E1D6B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2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、应收款项融资较年初</w:t>
      </w:r>
      <w:r w:rsidRPr="008E1D6B">
        <w:rPr>
          <w:rFonts w:ascii="Arial" w:eastAsiaTheme="minorEastAsia" w:hAnsi="Arial" w:cs="Arial" w:hint="eastAsia"/>
          <w:sz w:val="24"/>
          <w:szCs w:val="24"/>
        </w:rPr>
        <w:t>减少</w:t>
      </w:r>
      <w:r w:rsidRPr="008E1D6B">
        <w:rPr>
          <w:rFonts w:ascii="Arial" w:eastAsiaTheme="minorEastAsia" w:hAnsi="Arial" w:cs="Arial"/>
          <w:sz w:val="24"/>
          <w:szCs w:val="24"/>
        </w:rPr>
        <w:t>60.16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Pr="008E1D6B">
        <w:rPr>
          <w:rFonts w:ascii="Arial" w:eastAsiaTheme="minorEastAsia" w:hAnsi="Arial" w:cs="Arial" w:hint="eastAsia"/>
          <w:sz w:val="24"/>
          <w:szCs w:val="24"/>
        </w:rPr>
        <w:t>，主要原因是年末票据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背书结算所致。</w:t>
      </w:r>
    </w:p>
    <w:p w:rsidR="006B6C07" w:rsidRPr="008E1D6B" w:rsidRDefault="002F41AA" w:rsidP="008E1D6B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3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、预付</w:t>
      </w:r>
      <w:proofErr w:type="gramStart"/>
      <w:r w:rsidR="006B6C07" w:rsidRPr="008E1D6B">
        <w:rPr>
          <w:rFonts w:ascii="Arial" w:eastAsiaTheme="minorEastAsia" w:hAnsi="Arial" w:cs="Arial" w:hint="eastAsia"/>
          <w:sz w:val="24"/>
          <w:szCs w:val="24"/>
        </w:rPr>
        <w:t>账款较</w:t>
      </w:r>
      <w:proofErr w:type="gramEnd"/>
      <w:r w:rsidR="006B6C07" w:rsidRPr="008E1D6B">
        <w:rPr>
          <w:rFonts w:ascii="Arial" w:eastAsiaTheme="minorEastAsia" w:hAnsi="Arial" w:cs="Arial" w:hint="eastAsia"/>
          <w:sz w:val="24"/>
          <w:szCs w:val="24"/>
        </w:rPr>
        <w:t>年初</w:t>
      </w:r>
      <w:r w:rsidRPr="008E1D6B">
        <w:rPr>
          <w:rFonts w:ascii="Arial" w:eastAsiaTheme="minorEastAsia" w:hAnsi="Arial" w:cs="Arial" w:hint="eastAsia"/>
          <w:sz w:val="24"/>
          <w:szCs w:val="24"/>
        </w:rPr>
        <w:t>增加</w:t>
      </w:r>
      <w:r w:rsidRPr="008E1D6B">
        <w:rPr>
          <w:rFonts w:ascii="Arial" w:eastAsiaTheme="minorEastAsia" w:hAnsi="Arial" w:cs="Arial" w:hint="eastAsia"/>
          <w:sz w:val="24"/>
          <w:szCs w:val="24"/>
        </w:rPr>
        <w:t>9</w:t>
      </w:r>
      <w:r w:rsidRPr="008E1D6B">
        <w:rPr>
          <w:rFonts w:ascii="Arial" w:eastAsiaTheme="minorEastAsia" w:hAnsi="Arial" w:cs="Arial"/>
          <w:sz w:val="24"/>
          <w:szCs w:val="24"/>
        </w:rPr>
        <w:t>7.98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，主要原因是</w:t>
      </w:r>
      <w:r w:rsidR="00223B74">
        <w:rPr>
          <w:rFonts w:ascii="Arial" w:eastAsiaTheme="minorEastAsia" w:hAnsi="Arial" w:cs="Arial" w:hint="eastAsia"/>
          <w:sz w:val="24"/>
          <w:szCs w:val="24"/>
        </w:rPr>
        <w:t>后续订单备料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所致。</w:t>
      </w:r>
    </w:p>
    <w:p w:rsidR="0034095A" w:rsidRPr="008E1D6B" w:rsidRDefault="0034095A" w:rsidP="008E1D6B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4</w:t>
      </w:r>
      <w:r w:rsidRPr="008E1D6B">
        <w:rPr>
          <w:rFonts w:ascii="Arial" w:eastAsiaTheme="minorEastAsia" w:hAnsi="Arial" w:cs="Arial" w:hint="eastAsia"/>
          <w:sz w:val="24"/>
          <w:szCs w:val="24"/>
        </w:rPr>
        <w:t>、其他应收款较年初增加</w:t>
      </w:r>
      <w:r w:rsidRPr="008E1D6B">
        <w:rPr>
          <w:rFonts w:ascii="Arial" w:eastAsiaTheme="minorEastAsia" w:hAnsi="Arial" w:cs="Arial" w:hint="eastAsia"/>
          <w:sz w:val="24"/>
          <w:szCs w:val="24"/>
        </w:rPr>
        <w:t>320.33%</w:t>
      </w:r>
      <w:r w:rsidRPr="008E1D6B">
        <w:rPr>
          <w:rFonts w:ascii="Arial" w:eastAsiaTheme="minorEastAsia" w:hAnsi="Arial" w:cs="Arial" w:hint="eastAsia"/>
          <w:sz w:val="24"/>
          <w:szCs w:val="24"/>
        </w:rPr>
        <w:t>，主要原因是应收补贴款增加所致。</w:t>
      </w:r>
    </w:p>
    <w:p w:rsidR="006B6C07" w:rsidRPr="008E1D6B" w:rsidRDefault="0034095A" w:rsidP="008E1D6B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5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、存货较年初</w:t>
      </w:r>
      <w:r w:rsidR="002F41AA" w:rsidRPr="008E1D6B">
        <w:rPr>
          <w:rFonts w:ascii="Arial" w:eastAsiaTheme="minorEastAsia" w:hAnsi="Arial" w:cs="Arial" w:hint="eastAsia"/>
          <w:sz w:val="24"/>
          <w:szCs w:val="24"/>
        </w:rPr>
        <w:t>增加</w:t>
      </w:r>
      <w:r w:rsidR="002F41AA" w:rsidRPr="008E1D6B">
        <w:rPr>
          <w:rFonts w:ascii="Arial" w:eastAsiaTheme="minorEastAsia" w:hAnsi="Arial" w:cs="Arial"/>
          <w:sz w:val="24"/>
          <w:szCs w:val="24"/>
        </w:rPr>
        <w:t>33.09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，主要原因是在产品</w:t>
      </w:r>
      <w:r w:rsidR="002F41AA" w:rsidRPr="008E1D6B">
        <w:rPr>
          <w:rFonts w:ascii="Arial" w:eastAsiaTheme="minorEastAsia" w:hAnsi="Arial" w:cs="Arial" w:hint="eastAsia"/>
          <w:sz w:val="24"/>
          <w:szCs w:val="24"/>
        </w:rPr>
        <w:t>增加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所致。</w:t>
      </w:r>
    </w:p>
    <w:p w:rsidR="006B6C07" w:rsidRPr="008E1D6B" w:rsidRDefault="006B6C07" w:rsidP="008E1D6B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 w:hint="eastAsia"/>
          <w:sz w:val="24"/>
          <w:szCs w:val="24"/>
        </w:rPr>
        <w:t>6</w:t>
      </w:r>
      <w:r w:rsidRPr="008E1D6B">
        <w:rPr>
          <w:rFonts w:ascii="Arial" w:eastAsiaTheme="minorEastAsia" w:hAnsi="Arial" w:cs="Arial" w:hint="eastAsia"/>
          <w:sz w:val="24"/>
          <w:szCs w:val="24"/>
        </w:rPr>
        <w:t>、其他流动资产较年初</w:t>
      </w:r>
      <w:r w:rsidR="002F41AA" w:rsidRPr="008E1D6B">
        <w:rPr>
          <w:rFonts w:ascii="Arial" w:eastAsiaTheme="minorEastAsia" w:hAnsi="Arial" w:cs="Arial" w:hint="eastAsia"/>
          <w:sz w:val="24"/>
          <w:szCs w:val="24"/>
        </w:rPr>
        <w:t>增加</w:t>
      </w:r>
      <w:r w:rsidR="002F41AA" w:rsidRPr="008E1D6B">
        <w:rPr>
          <w:rFonts w:ascii="Arial" w:eastAsiaTheme="minorEastAsia" w:hAnsi="Arial" w:cs="Arial"/>
          <w:sz w:val="24"/>
          <w:szCs w:val="24"/>
        </w:rPr>
        <w:t>2884.59</w:t>
      </w:r>
      <w:r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Pr="008E1D6B">
        <w:rPr>
          <w:rFonts w:ascii="Arial" w:eastAsiaTheme="minorEastAsia" w:hAnsi="Arial" w:cs="Arial" w:hint="eastAsia"/>
          <w:sz w:val="24"/>
          <w:szCs w:val="24"/>
        </w:rPr>
        <w:t>，主要原因是待抵扣进项税额</w:t>
      </w:r>
      <w:r w:rsidR="002F41AA" w:rsidRPr="008E1D6B">
        <w:rPr>
          <w:rFonts w:ascii="Arial" w:eastAsiaTheme="minorEastAsia" w:hAnsi="Arial" w:cs="Arial" w:hint="eastAsia"/>
          <w:sz w:val="24"/>
          <w:szCs w:val="24"/>
        </w:rPr>
        <w:t>增加</w:t>
      </w:r>
      <w:r w:rsidRPr="008E1D6B">
        <w:rPr>
          <w:rFonts w:ascii="Arial" w:eastAsiaTheme="minorEastAsia" w:hAnsi="Arial" w:cs="Arial" w:hint="eastAsia"/>
          <w:sz w:val="24"/>
          <w:szCs w:val="24"/>
        </w:rPr>
        <w:t>所致。</w:t>
      </w:r>
    </w:p>
    <w:p w:rsidR="006B6C07" w:rsidRPr="008E1D6B" w:rsidRDefault="006B6C07" w:rsidP="008E1D6B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 w:hint="eastAsia"/>
          <w:sz w:val="24"/>
          <w:szCs w:val="24"/>
        </w:rPr>
        <w:t>7</w:t>
      </w:r>
      <w:r w:rsidRPr="008E1D6B">
        <w:rPr>
          <w:rFonts w:ascii="Arial" w:eastAsiaTheme="minorEastAsia" w:hAnsi="Arial" w:cs="Arial" w:hint="eastAsia"/>
          <w:sz w:val="24"/>
          <w:szCs w:val="24"/>
        </w:rPr>
        <w:t>、其他非流动金融资产较年初</w:t>
      </w:r>
      <w:r w:rsidR="002F41AA" w:rsidRPr="008E1D6B">
        <w:rPr>
          <w:rFonts w:ascii="Arial" w:eastAsiaTheme="minorEastAsia" w:hAnsi="Arial" w:cs="Arial" w:hint="eastAsia"/>
          <w:sz w:val="24"/>
          <w:szCs w:val="24"/>
        </w:rPr>
        <w:t>增加</w:t>
      </w:r>
      <w:r w:rsidR="002F41AA" w:rsidRPr="008E1D6B">
        <w:rPr>
          <w:rFonts w:ascii="Arial" w:eastAsiaTheme="minorEastAsia" w:hAnsi="Arial" w:cs="Arial"/>
          <w:sz w:val="24"/>
          <w:szCs w:val="24"/>
        </w:rPr>
        <w:t>1601.88</w:t>
      </w:r>
      <w:r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Pr="008E1D6B">
        <w:rPr>
          <w:rFonts w:ascii="Arial" w:eastAsiaTheme="minorEastAsia" w:hAnsi="Arial" w:cs="Arial" w:hint="eastAsia"/>
          <w:sz w:val="24"/>
          <w:szCs w:val="24"/>
        </w:rPr>
        <w:t>，主要原因是</w:t>
      </w:r>
      <w:r w:rsidR="0034095A" w:rsidRPr="008E1D6B">
        <w:rPr>
          <w:rFonts w:ascii="Arial" w:eastAsiaTheme="minorEastAsia" w:hAnsi="Arial" w:cs="Arial" w:hint="eastAsia"/>
          <w:sz w:val="24"/>
          <w:szCs w:val="24"/>
        </w:rPr>
        <w:t>青海盐湖破产重整，导致公司应收账款转为合伙企业份额和信托份额</w:t>
      </w:r>
      <w:r w:rsidRPr="008E1D6B">
        <w:rPr>
          <w:rFonts w:ascii="Arial" w:eastAsiaTheme="minorEastAsia" w:hAnsi="Arial" w:cs="Arial" w:hint="eastAsia"/>
          <w:sz w:val="24"/>
          <w:szCs w:val="24"/>
        </w:rPr>
        <w:t>所致。</w:t>
      </w:r>
    </w:p>
    <w:p w:rsidR="006B6C07" w:rsidRPr="008E1D6B" w:rsidRDefault="006B6C07" w:rsidP="008E1D6B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 w:hint="eastAsia"/>
          <w:sz w:val="24"/>
          <w:szCs w:val="24"/>
        </w:rPr>
        <w:t>8</w:t>
      </w:r>
      <w:r w:rsidRPr="008E1D6B">
        <w:rPr>
          <w:rFonts w:ascii="Arial" w:eastAsiaTheme="minorEastAsia" w:hAnsi="Arial" w:cs="Arial" w:hint="eastAsia"/>
          <w:sz w:val="24"/>
          <w:szCs w:val="24"/>
        </w:rPr>
        <w:t>、在建工程较年初</w:t>
      </w:r>
      <w:r w:rsidR="002F41AA" w:rsidRPr="008E1D6B">
        <w:rPr>
          <w:rFonts w:ascii="Arial" w:eastAsiaTheme="minorEastAsia" w:hAnsi="Arial" w:cs="Arial" w:hint="eastAsia"/>
          <w:sz w:val="24"/>
          <w:szCs w:val="24"/>
        </w:rPr>
        <w:t>增加</w:t>
      </w:r>
      <w:r w:rsidRPr="008E1D6B">
        <w:rPr>
          <w:rFonts w:ascii="Arial" w:eastAsiaTheme="minorEastAsia" w:hAnsi="Arial" w:cs="Arial" w:hint="eastAsia"/>
          <w:sz w:val="24"/>
          <w:szCs w:val="24"/>
        </w:rPr>
        <w:t>100%</w:t>
      </w:r>
      <w:r w:rsidRPr="008E1D6B">
        <w:rPr>
          <w:rFonts w:ascii="Arial" w:eastAsiaTheme="minorEastAsia" w:hAnsi="Arial" w:cs="Arial" w:hint="eastAsia"/>
          <w:sz w:val="24"/>
          <w:szCs w:val="24"/>
        </w:rPr>
        <w:t>，主要原因是</w:t>
      </w:r>
      <w:r w:rsidR="0034095A" w:rsidRPr="008E1D6B">
        <w:rPr>
          <w:rFonts w:ascii="Segoe UI Symbol" w:eastAsiaTheme="minorEastAsia" w:hAnsi="Segoe UI Symbol" w:cs="Segoe UI Symbol" w:hint="eastAsia"/>
          <w:sz w:val="24"/>
          <w:szCs w:val="24"/>
        </w:rPr>
        <w:t>在建工程项目暂未转固</w:t>
      </w:r>
      <w:r w:rsidRPr="008E1D6B">
        <w:rPr>
          <w:rFonts w:ascii="Arial" w:eastAsiaTheme="minorEastAsia" w:hAnsi="Arial" w:cs="Arial" w:hint="eastAsia"/>
          <w:sz w:val="24"/>
          <w:szCs w:val="24"/>
        </w:rPr>
        <w:t>所致。</w:t>
      </w:r>
    </w:p>
    <w:p w:rsidR="006B6C07" w:rsidRPr="008E1D6B" w:rsidRDefault="006B6C07" w:rsidP="008E1D6B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 w:hint="eastAsia"/>
          <w:sz w:val="24"/>
          <w:szCs w:val="24"/>
        </w:rPr>
        <w:t>9</w:t>
      </w:r>
      <w:r w:rsidRPr="008E1D6B">
        <w:rPr>
          <w:rFonts w:ascii="Arial" w:eastAsiaTheme="minorEastAsia" w:hAnsi="Arial" w:cs="Arial" w:hint="eastAsia"/>
          <w:sz w:val="24"/>
          <w:szCs w:val="24"/>
        </w:rPr>
        <w:t>、使用权资产较年初</w:t>
      </w:r>
      <w:r w:rsidR="0034095A" w:rsidRPr="008E1D6B">
        <w:rPr>
          <w:rFonts w:ascii="Arial" w:eastAsiaTheme="minorEastAsia" w:hAnsi="Arial" w:cs="Arial" w:hint="eastAsia"/>
          <w:sz w:val="24"/>
          <w:szCs w:val="24"/>
        </w:rPr>
        <w:t>减少</w:t>
      </w:r>
      <w:r w:rsidR="0034095A" w:rsidRPr="008E1D6B">
        <w:rPr>
          <w:rFonts w:ascii="Arial" w:eastAsiaTheme="minorEastAsia" w:hAnsi="Arial" w:cs="Arial"/>
          <w:sz w:val="24"/>
          <w:szCs w:val="24"/>
        </w:rPr>
        <w:t>52.17</w:t>
      </w:r>
      <w:r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Pr="008E1D6B">
        <w:rPr>
          <w:rFonts w:ascii="Arial" w:eastAsiaTheme="minorEastAsia" w:hAnsi="Arial" w:cs="Arial" w:hint="eastAsia"/>
          <w:sz w:val="24"/>
          <w:szCs w:val="24"/>
        </w:rPr>
        <w:t>，主要原因是宝</w:t>
      </w:r>
      <w:proofErr w:type="gramStart"/>
      <w:r w:rsidRPr="008E1D6B">
        <w:rPr>
          <w:rFonts w:ascii="Arial" w:eastAsiaTheme="minorEastAsia" w:hAnsi="Arial" w:cs="Arial" w:hint="eastAsia"/>
          <w:sz w:val="24"/>
          <w:szCs w:val="24"/>
        </w:rPr>
        <w:t>色工程</w:t>
      </w:r>
      <w:proofErr w:type="gramEnd"/>
      <w:r w:rsidRPr="008E1D6B">
        <w:rPr>
          <w:rFonts w:ascii="Arial" w:eastAsiaTheme="minorEastAsia" w:hAnsi="Arial" w:cs="Arial" w:hint="eastAsia"/>
          <w:sz w:val="24"/>
          <w:szCs w:val="24"/>
        </w:rPr>
        <w:t>技术研发中心租赁办公场所</w:t>
      </w:r>
      <w:r w:rsidR="00223B74">
        <w:rPr>
          <w:rFonts w:ascii="Arial" w:eastAsiaTheme="minorEastAsia" w:hAnsi="Arial" w:cs="Arial" w:hint="eastAsia"/>
          <w:sz w:val="24"/>
          <w:szCs w:val="24"/>
        </w:rPr>
        <w:t>摊销</w:t>
      </w:r>
      <w:r w:rsidRPr="008E1D6B">
        <w:rPr>
          <w:rFonts w:ascii="Arial" w:eastAsiaTheme="minorEastAsia" w:hAnsi="Arial" w:cs="Arial" w:hint="eastAsia"/>
          <w:sz w:val="24"/>
          <w:szCs w:val="24"/>
        </w:rPr>
        <w:t>所致。</w:t>
      </w:r>
    </w:p>
    <w:p w:rsidR="0034095A" w:rsidRPr="008E1D6B" w:rsidRDefault="0034095A" w:rsidP="008E1D6B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10</w:t>
      </w:r>
      <w:r w:rsidRPr="008E1D6B">
        <w:rPr>
          <w:rFonts w:ascii="Arial" w:eastAsiaTheme="minorEastAsia" w:hAnsi="Arial" w:cs="Arial"/>
          <w:sz w:val="24"/>
          <w:szCs w:val="24"/>
        </w:rPr>
        <w:t>、其他非流动资产较年初增加</w:t>
      </w:r>
      <w:r w:rsidRPr="008E1D6B">
        <w:rPr>
          <w:rFonts w:ascii="Arial" w:eastAsiaTheme="minorEastAsia" w:hAnsi="Arial" w:cs="Arial" w:hint="eastAsia"/>
          <w:sz w:val="24"/>
          <w:szCs w:val="24"/>
        </w:rPr>
        <w:t>1</w:t>
      </w:r>
      <w:r w:rsidRPr="008E1D6B">
        <w:rPr>
          <w:rFonts w:ascii="Arial" w:eastAsiaTheme="minorEastAsia" w:hAnsi="Arial" w:cs="Arial"/>
          <w:sz w:val="24"/>
          <w:szCs w:val="24"/>
        </w:rPr>
        <w:t>10.89%</w:t>
      </w:r>
      <w:r w:rsidRPr="008E1D6B">
        <w:rPr>
          <w:rFonts w:ascii="Arial" w:eastAsiaTheme="minorEastAsia" w:hAnsi="Arial" w:cs="Arial"/>
          <w:sz w:val="24"/>
          <w:szCs w:val="24"/>
        </w:rPr>
        <w:t>，主要原因是预付设备款</w:t>
      </w:r>
      <w:r w:rsidR="00E458BC" w:rsidRPr="008E1D6B">
        <w:rPr>
          <w:rFonts w:ascii="Arial" w:eastAsiaTheme="minorEastAsia" w:hAnsi="Arial" w:cs="Arial"/>
          <w:sz w:val="24"/>
          <w:szCs w:val="24"/>
        </w:rPr>
        <w:t>增加</w:t>
      </w:r>
      <w:r w:rsidRPr="008E1D6B">
        <w:rPr>
          <w:rFonts w:ascii="Arial" w:eastAsiaTheme="minorEastAsia" w:hAnsi="Arial" w:cs="Arial"/>
          <w:sz w:val="24"/>
          <w:szCs w:val="24"/>
        </w:rPr>
        <w:t>所致。</w:t>
      </w:r>
    </w:p>
    <w:p w:rsidR="001B5B60" w:rsidRPr="008E1D6B" w:rsidRDefault="001B5B60" w:rsidP="00A70A62">
      <w:pPr>
        <w:spacing w:beforeLines="25" w:before="78" w:line="360" w:lineRule="auto"/>
        <w:ind w:firstLine="482"/>
        <w:outlineLvl w:val="1"/>
        <w:rPr>
          <w:rFonts w:ascii="Arial" w:hAnsi="Arial" w:cs="Arial"/>
          <w:b/>
          <w:sz w:val="24"/>
          <w:szCs w:val="24"/>
        </w:rPr>
      </w:pPr>
      <w:r w:rsidRPr="008E1D6B">
        <w:rPr>
          <w:rFonts w:ascii="Arial" w:hAnsi="Arial" w:cs="Arial"/>
          <w:b/>
          <w:sz w:val="24"/>
          <w:szCs w:val="24"/>
        </w:rPr>
        <w:t>（二）负债项目变动情况</w:t>
      </w:r>
    </w:p>
    <w:p w:rsidR="00B94FFE" w:rsidRPr="008E1D6B" w:rsidRDefault="001B5B60" w:rsidP="001B5B60">
      <w:pPr>
        <w:ind w:firstLine="480"/>
        <w:jc w:val="right"/>
        <w:rPr>
          <w:rFonts w:asciiTheme="minorEastAsia" w:eastAsiaTheme="minorEastAsia" w:hAnsiTheme="minorEastAsia" w:cs="Arial"/>
          <w:szCs w:val="21"/>
        </w:rPr>
      </w:pPr>
      <w:r w:rsidRPr="008E1D6B">
        <w:rPr>
          <w:rFonts w:asciiTheme="minorEastAsia" w:eastAsiaTheme="minorEastAsia" w:hAnsiTheme="minorEastAsia" w:cs="Arial"/>
          <w:szCs w:val="21"/>
        </w:rPr>
        <w:t>单位：元</w:t>
      </w:r>
    </w:p>
    <w:tbl>
      <w:tblPr>
        <w:tblW w:w="91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14"/>
        <w:gridCol w:w="2268"/>
        <w:gridCol w:w="2226"/>
        <w:gridCol w:w="2030"/>
      </w:tblGrid>
      <w:tr w:rsidR="00B94FFE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B94FFE" w:rsidRPr="008E1D6B" w:rsidRDefault="00B94FFE" w:rsidP="00235A5C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项目</w:t>
            </w:r>
          </w:p>
        </w:tc>
        <w:tc>
          <w:tcPr>
            <w:tcW w:w="2268" w:type="dxa"/>
            <w:shd w:val="clear" w:color="000000" w:fill="D9D9D9"/>
            <w:noWrap/>
            <w:vAlign w:val="center"/>
          </w:tcPr>
          <w:p w:rsidR="00B94FFE" w:rsidRPr="008E1D6B" w:rsidRDefault="00B94FFE" w:rsidP="00ED0B65">
            <w:pPr>
              <w:jc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/>
                <w:b/>
                <w:bCs/>
                <w:color w:val="000000"/>
                <w:szCs w:val="21"/>
              </w:rPr>
              <w:t>202</w:t>
            </w:r>
            <w:r w:rsidR="00ED0B65" w:rsidRPr="008E1D6B">
              <w:rPr>
                <w:rFonts w:eastAsiaTheme="minorEastAsia"/>
                <w:b/>
                <w:bCs/>
                <w:color w:val="000000"/>
                <w:szCs w:val="21"/>
              </w:rPr>
              <w:t>5</w:t>
            </w:r>
            <w:r w:rsidRPr="008E1D6B">
              <w:rPr>
                <w:rFonts w:eastAsiaTheme="minorEastAsia"/>
                <w:b/>
                <w:bCs/>
                <w:color w:val="000000"/>
                <w:szCs w:val="21"/>
              </w:rPr>
              <w:t>年末</w:t>
            </w:r>
          </w:p>
        </w:tc>
        <w:tc>
          <w:tcPr>
            <w:tcW w:w="2226" w:type="dxa"/>
            <w:shd w:val="clear" w:color="000000" w:fill="D9D9D9"/>
            <w:noWrap/>
            <w:vAlign w:val="center"/>
          </w:tcPr>
          <w:p w:rsidR="00B94FFE" w:rsidRPr="008E1D6B" w:rsidRDefault="00B94FFE" w:rsidP="00ED0B65">
            <w:pPr>
              <w:jc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/>
                <w:b/>
                <w:bCs/>
                <w:color w:val="000000"/>
                <w:szCs w:val="21"/>
              </w:rPr>
              <w:t>202</w:t>
            </w:r>
            <w:r w:rsidR="00ED0B65" w:rsidRPr="008E1D6B">
              <w:rPr>
                <w:rFonts w:eastAsiaTheme="minorEastAsia"/>
                <w:b/>
                <w:bCs/>
                <w:color w:val="000000"/>
                <w:szCs w:val="21"/>
              </w:rPr>
              <w:t>4</w:t>
            </w:r>
            <w:r w:rsidRPr="008E1D6B">
              <w:rPr>
                <w:rFonts w:eastAsiaTheme="minorEastAsia"/>
                <w:b/>
                <w:bCs/>
                <w:color w:val="000000"/>
                <w:szCs w:val="21"/>
              </w:rPr>
              <w:t>年末</w:t>
            </w:r>
          </w:p>
        </w:tc>
        <w:tc>
          <w:tcPr>
            <w:tcW w:w="2030" w:type="dxa"/>
            <w:shd w:val="clear" w:color="000000" w:fill="D9D9D9"/>
            <w:noWrap/>
            <w:vAlign w:val="center"/>
          </w:tcPr>
          <w:p w:rsidR="00B94FFE" w:rsidRPr="008E1D6B" w:rsidRDefault="00B94FFE" w:rsidP="00546543">
            <w:pPr>
              <w:jc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增减变动幅度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应付票据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215,000,000.00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184,000,000.00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widowControl/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16.85%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应付账款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433,798,097.05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333,944,460.00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29.90%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合同负债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185,078,245.67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150,644,662.85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22.86%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应付职工薪酬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17,363,293.47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17,980,439.64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-3.43%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lastRenderedPageBreak/>
              <w:t>应交税费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8,693,855.29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16,065,675.15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-45.89%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其他应付款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2B04E3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26,287,187.63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5,279,570.49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2B04E3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397.90%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一年内到期的非流动负债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124,760,314.53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24,415,284.65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410.99%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其他流动负债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16,635,756.70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18,895,496.78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-11.96%</w:t>
            </w:r>
          </w:p>
        </w:tc>
      </w:tr>
      <w:tr w:rsidR="00E52F8D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52F8D" w:rsidRPr="008E1D6B" w:rsidRDefault="00E52F8D" w:rsidP="00E52F8D">
            <w:pPr>
              <w:jc w:val="left"/>
              <w:rPr>
                <w:rFonts w:eastAsiaTheme="minorEastAsia"/>
                <w:b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color w:val="000000"/>
                <w:szCs w:val="21"/>
              </w:rPr>
              <w:t>流动负债合计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8D" w:rsidRPr="008E1D6B" w:rsidRDefault="002B04E3" w:rsidP="00E52F8D">
            <w:pPr>
              <w:widowControl/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1,027,616,750.34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52F8D" w:rsidRPr="008E1D6B" w:rsidRDefault="00E52F8D" w:rsidP="00E52F8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751,225,589.56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8D" w:rsidRPr="008E1D6B" w:rsidRDefault="002B04E3" w:rsidP="00E52F8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36.79%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长期借款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48,000,000.00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180,000,000.00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-73.33%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租赁负债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0.00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645,033.35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-100.00%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递延收益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11,025,709.53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13,237,744.27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-16.71%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递延所得税负债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290,747.04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500,310.26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-41.89%</w:t>
            </w:r>
          </w:p>
        </w:tc>
      </w:tr>
      <w:tr w:rsidR="00ED0B65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vAlign w:val="center"/>
          </w:tcPr>
          <w:p w:rsidR="00ED0B65" w:rsidRPr="008E1D6B" w:rsidRDefault="00ED0B65" w:rsidP="00ED0B65">
            <w:pPr>
              <w:jc w:val="left"/>
              <w:rPr>
                <w:rFonts w:eastAsiaTheme="minorEastAsia"/>
                <w:b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color w:val="000000"/>
                <w:szCs w:val="21"/>
              </w:rPr>
              <w:t>非流动负债合计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59,316,456.57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="420"/>
              <w:jc w:val="right"/>
              <w:rPr>
                <w:rFonts w:eastAsiaTheme="minorEastAsia"/>
                <w:b/>
                <w:color w:val="000000"/>
                <w:szCs w:val="21"/>
              </w:rPr>
            </w:pPr>
            <w:r w:rsidRPr="008E1D6B">
              <w:rPr>
                <w:rFonts w:eastAsiaTheme="minorEastAsia"/>
                <w:b/>
                <w:color w:val="000000"/>
                <w:szCs w:val="21"/>
              </w:rPr>
              <w:t>194,383,087.88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65" w:rsidRPr="008E1D6B" w:rsidRDefault="00ED0B65" w:rsidP="00ED0B65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-69.48%</w:t>
            </w:r>
          </w:p>
        </w:tc>
      </w:tr>
      <w:tr w:rsidR="00E52F8D" w:rsidRPr="008E1D6B" w:rsidTr="008E1D6B">
        <w:trPr>
          <w:trHeight w:val="369"/>
          <w:jc w:val="center"/>
        </w:trPr>
        <w:tc>
          <w:tcPr>
            <w:tcW w:w="2614" w:type="dxa"/>
            <w:shd w:val="clear" w:color="000000" w:fill="D9D9D9"/>
            <w:noWrap/>
            <w:vAlign w:val="center"/>
          </w:tcPr>
          <w:p w:rsidR="00E52F8D" w:rsidRPr="008E1D6B" w:rsidRDefault="00E52F8D" w:rsidP="00E52F8D">
            <w:pPr>
              <w:jc w:val="left"/>
              <w:rPr>
                <w:rFonts w:eastAsiaTheme="minorEastAsia"/>
                <w:b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color w:val="000000"/>
                <w:szCs w:val="21"/>
              </w:rPr>
              <w:t>负债合计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8D" w:rsidRPr="008E1D6B" w:rsidRDefault="002B04E3" w:rsidP="00E52F8D">
            <w:pPr>
              <w:widowControl/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1,086,933,206.91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8D" w:rsidRPr="008E1D6B" w:rsidRDefault="00E52F8D" w:rsidP="00E52F8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945,608,677.44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8D" w:rsidRPr="008E1D6B" w:rsidRDefault="002B04E3" w:rsidP="00E52F8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14.95%</w:t>
            </w:r>
          </w:p>
        </w:tc>
      </w:tr>
    </w:tbl>
    <w:p w:rsidR="001B5B60" w:rsidRPr="008E1D6B" w:rsidRDefault="001B5B60" w:rsidP="00546543">
      <w:pPr>
        <w:spacing w:beforeLines="50" w:before="156" w:line="360" w:lineRule="auto"/>
        <w:ind w:firstLine="561"/>
        <w:rPr>
          <w:rFonts w:eastAsiaTheme="minorEastAsia"/>
          <w:b/>
          <w:sz w:val="24"/>
          <w:szCs w:val="24"/>
        </w:rPr>
      </w:pPr>
      <w:r w:rsidRPr="008E1D6B">
        <w:rPr>
          <w:rFonts w:eastAsiaTheme="minorEastAsia"/>
          <w:b/>
          <w:sz w:val="24"/>
          <w:szCs w:val="24"/>
        </w:rPr>
        <w:t>主要项目变动分析：</w:t>
      </w:r>
    </w:p>
    <w:p w:rsidR="004550AA" w:rsidRPr="008E1D6B" w:rsidRDefault="00ED0B65" w:rsidP="008E1D6B">
      <w:pPr>
        <w:spacing w:line="348" w:lineRule="auto"/>
        <w:ind w:firstLineChars="200" w:firstLine="480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1</w:t>
      </w:r>
      <w:r w:rsidR="004550AA" w:rsidRPr="008E1D6B">
        <w:rPr>
          <w:rFonts w:ascii="Arial" w:eastAsiaTheme="minorEastAsia" w:hAnsi="Arial" w:cs="Arial" w:hint="eastAsia"/>
          <w:sz w:val="24"/>
          <w:szCs w:val="24"/>
        </w:rPr>
        <w:t>、应</w:t>
      </w:r>
      <w:proofErr w:type="gramStart"/>
      <w:r w:rsidR="004550AA" w:rsidRPr="008E1D6B">
        <w:rPr>
          <w:rFonts w:ascii="Arial" w:eastAsiaTheme="minorEastAsia" w:hAnsi="Arial" w:cs="Arial" w:hint="eastAsia"/>
          <w:sz w:val="24"/>
          <w:szCs w:val="24"/>
        </w:rPr>
        <w:t>交税费较年初</w:t>
      </w:r>
      <w:proofErr w:type="gramEnd"/>
      <w:r w:rsidRPr="008E1D6B">
        <w:rPr>
          <w:rFonts w:ascii="Arial" w:eastAsiaTheme="minorEastAsia" w:hAnsi="Arial" w:cs="Arial" w:hint="eastAsia"/>
          <w:sz w:val="24"/>
          <w:szCs w:val="24"/>
        </w:rPr>
        <w:t>减少</w:t>
      </w:r>
      <w:r w:rsidRPr="008E1D6B">
        <w:rPr>
          <w:rFonts w:ascii="Arial" w:eastAsiaTheme="minorEastAsia" w:hAnsi="Arial" w:cs="Arial" w:hint="eastAsia"/>
          <w:sz w:val="24"/>
          <w:szCs w:val="24"/>
        </w:rPr>
        <w:t>4</w:t>
      </w:r>
      <w:r w:rsidRPr="008E1D6B">
        <w:rPr>
          <w:rFonts w:ascii="Arial" w:eastAsiaTheme="minorEastAsia" w:hAnsi="Arial" w:cs="Arial"/>
          <w:sz w:val="24"/>
          <w:szCs w:val="24"/>
        </w:rPr>
        <w:t>5.89</w:t>
      </w:r>
      <w:r w:rsidR="004550AA" w:rsidRPr="008E1D6B">
        <w:rPr>
          <w:rFonts w:ascii="Arial" w:eastAsiaTheme="minorEastAsia" w:hAnsi="Arial" w:cs="Arial"/>
          <w:sz w:val="24"/>
          <w:szCs w:val="24"/>
        </w:rPr>
        <w:t>%</w:t>
      </w:r>
      <w:r w:rsidR="004550AA" w:rsidRPr="008E1D6B">
        <w:rPr>
          <w:rFonts w:ascii="Arial" w:eastAsiaTheme="minorEastAsia" w:hAnsi="Arial" w:cs="Arial"/>
          <w:sz w:val="24"/>
          <w:szCs w:val="24"/>
        </w:rPr>
        <w:t>，主要原因是本年应交增值税费</w:t>
      </w:r>
      <w:r w:rsidRPr="008E1D6B">
        <w:rPr>
          <w:rFonts w:ascii="Arial" w:eastAsiaTheme="minorEastAsia" w:hAnsi="Arial" w:cs="Arial" w:hint="eastAsia"/>
          <w:sz w:val="24"/>
          <w:szCs w:val="24"/>
        </w:rPr>
        <w:t>减少</w:t>
      </w:r>
      <w:r w:rsidR="004550AA" w:rsidRPr="008E1D6B">
        <w:rPr>
          <w:rFonts w:ascii="Arial" w:eastAsiaTheme="minorEastAsia" w:hAnsi="Arial" w:cs="Arial"/>
          <w:sz w:val="24"/>
          <w:szCs w:val="24"/>
        </w:rPr>
        <w:t>所致。</w:t>
      </w:r>
    </w:p>
    <w:p w:rsidR="00ED0B65" w:rsidRPr="008E1D6B" w:rsidRDefault="00ED0B65" w:rsidP="008E1D6B">
      <w:pPr>
        <w:spacing w:line="348" w:lineRule="auto"/>
        <w:ind w:firstLineChars="200" w:firstLine="480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 w:hint="eastAsia"/>
          <w:sz w:val="24"/>
          <w:szCs w:val="24"/>
        </w:rPr>
        <w:t>2</w:t>
      </w:r>
      <w:r w:rsidRPr="008E1D6B">
        <w:rPr>
          <w:rFonts w:ascii="Arial" w:eastAsiaTheme="minorEastAsia" w:hAnsi="Arial" w:cs="Arial" w:hint="eastAsia"/>
          <w:sz w:val="24"/>
          <w:szCs w:val="24"/>
        </w:rPr>
        <w:t>、其他应付款较年初增加</w:t>
      </w:r>
      <w:r w:rsidR="002B04E3" w:rsidRPr="008E1D6B">
        <w:rPr>
          <w:rFonts w:ascii="Arial" w:eastAsiaTheme="minorEastAsia" w:hAnsi="Arial" w:cs="Arial"/>
          <w:sz w:val="24"/>
          <w:szCs w:val="24"/>
        </w:rPr>
        <w:t>397.90</w:t>
      </w:r>
      <w:r w:rsidRPr="008E1D6B">
        <w:rPr>
          <w:rFonts w:ascii="Arial" w:eastAsiaTheme="minorEastAsia" w:hAnsi="Arial" w:cs="Arial"/>
          <w:sz w:val="24"/>
          <w:szCs w:val="24"/>
        </w:rPr>
        <w:t>%</w:t>
      </w:r>
      <w:r w:rsidRPr="008E1D6B">
        <w:rPr>
          <w:rFonts w:ascii="Arial" w:eastAsiaTheme="minorEastAsia" w:hAnsi="Arial" w:cs="Arial"/>
          <w:sz w:val="24"/>
          <w:szCs w:val="24"/>
        </w:rPr>
        <w:t>，主要原因是收到</w:t>
      </w:r>
      <w:r w:rsidRPr="008E1D6B">
        <w:rPr>
          <w:rFonts w:ascii="Arial" w:eastAsiaTheme="minorEastAsia" w:hAnsi="Arial" w:cs="Arial" w:hint="eastAsia"/>
          <w:sz w:val="24"/>
          <w:szCs w:val="24"/>
        </w:rPr>
        <w:t>股权激励缴款所致。</w:t>
      </w:r>
    </w:p>
    <w:p w:rsidR="006B6C07" w:rsidRPr="008E1D6B" w:rsidRDefault="00ED0B65" w:rsidP="008E1D6B">
      <w:pPr>
        <w:spacing w:line="348" w:lineRule="auto"/>
        <w:ind w:firstLineChars="200" w:firstLine="480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3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、一年内到期的非流动负债</w:t>
      </w:r>
      <w:r w:rsidRPr="008E1D6B">
        <w:rPr>
          <w:rFonts w:ascii="Arial" w:eastAsiaTheme="minorEastAsia" w:hAnsi="Arial" w:cs="Arial" w:hint="eastAsia"/>
          <w:sz w:val="24"/>
          <w:szCs w:val="24"/>
        </w:rPr>
        <w:t>增加</w:t>
      </w:r>
      <w:r w:rsidRPr="008E1D6B">
        <w:rPr>
          <w:rFonts w:ascii="Arial" w:eastAsiaTheme="minorEastAsia" w:hAnsi="Arial" w:cs="Arial"/>
          <w:sz w:val="24"/>
          <w:szCs w:val="24"/>
        </w:rPr>
        <w:t>410.</w:t>
      </w:r>
      <w:r w:rsidR="00A459A5" w:rsidRPr="008E1D6B">
        <w:rPr>
          <w:rFonts w:ascii="Arial" w:eastAsiaTheme="minorEastAsia" w:hAnsi="Arial" w:cs="Arial"/>
          <w:sz w:val="24"/>
          <w:szCs w:val="24"/>
        </w:rPr>
        <w:t>99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，主要原因是</w:t>
      </w:r>
      <w:r w:rsidRPr="008E1D6B">
        <w:rPr>
          <w:rFonts w:ascii="Arial" w:eastAsiaTheme="minorEastAsia" w:hAnsi="Arial" w:cs="Arial" w:hint="eastAsia"/>
          <w:sz w:val="24"/>
          <w:szCs w:val="24"/>
        </w:rPr>
        <w:t>调整至一年内到期的长期借款增加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所致。</w:t>
      </w:r>
    </w:p>
    <w:p w:rsidR="006B6C07" w:rsidRPr="008E1D6B" w:rsidRDefault="00ED0B65" w:rsidP="008E1D6B">
      <w:pPr>
        <w:spacing w:line="348" w:lineRule="auto"/>
        <w:ind w:firstLineChars="200" w:firstLine="480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4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、长期借款较年初</w:t>
      </w:r>
      <w:r w:rsidRPr="008E1D6B">
        <w:rPr>
          <w:rFonts w:ascii="Arial" w:eastAsiaTheme="minorEastAsia" w:hAnsi="Arial" w:cs="Arial" w:hint="eastAsia"/>
          <w:sz w:val="24"/>
          <w:szCs w:val="24"/>
        </w:rPr>
        <w:t>减少</w:t>
      </w:r>
      <w:r w:rsidRPr="008E1D6B">
        <w:rPr>
          <w:rFonts w:ascii="Arial" w:eastAsiaTheme="minorEastAsia" w:hAnsi="Arial" w:cs="Arial"/>
          <w:sz w:val="24"/>
          <w:szCs w:val="24"/>
        </w:rPr>
        <w:t>73.33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，主要原因是</w:t>
      </w:r>
      <w:r w:rsidRPr="008E1D6B">
        <w:rPr>
          <w:rFonts w:ascii="Arial" w:eastAsiaTheme="minorEastAsia" w:hAnsi="Arial" w:cs="Arial" w:hint="eastAsia"/>
          <w:sz w:val="24"/>
          <w:szCs w:val="24"/>
        </w:rPr>
        <w:t>调整至一年内到期的长期借款增加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所致。</w:t>
      </w:r>
    </w:p>
    <w:p w:rsidR="001B5B60" w:rsidRPr="008E1D6B" w:rsidRDefault="001B5B60" w:rsidP="00447F6F">
      <w:pPr>
        <w:spacing w:line="360" w:lineRule="auto"/>
        <w:ind w:firstLine="482"/>
        <w:outlineLvl w:val="1"/>
        <w:rPr>
          <w:rFonts w:ascii="Arial" w:hAnsi="Arial" w:cs="Arial"/>
          <w:b/>
          <w:sz w:val="24"/>
          <w:szCs w:val="24"/>
        </w:rPr>
      </w:pPr>
      <w:r w:rsidRPr="008E1D6B">
        <w:rPr>
          <w:rFonts w:ascii="Arial" w:hAnsi="Arial" w:cs="Arial"/>
          <w:b/>
          <w:sz w:val="24"/>
          <w:szCs w:val="24"/>
        </w:rPr>
        <w:t>（三）所有者权益变动情况</w:t>
      </w:r>
    </w:p>
    <w:p w:rsidR="00B94FFE" w:rsidRPr="008E1D6B" w:rsidRDefault="001B5B60" w:rsidP="001B5B60">
      <w:pPr>
        <w:ind w:firstLine="480"/>
        <w:jc w:val="right"/>
        <w:rPr>
          <w:rFonts w:asciiTheme="minorEastAsia" w:eastAsiaTheme="minorEastAsia" w:hAnsiTheme="minorEastAsia" w:cs="Arial"/>
          <w:szCs w:val="21"/>
        </w:rPr>
      </w:pPr>
      <w:r w:rsidRPr="008E1D6B">
        <w:rPr>
          <w:rFonts w:asciiTheme="minorEastAsia" w:eastAsiaTheme="minorEastAsia" w:hAnsiTheme="minorEastAsia" w:cs="Arial"/>
          <w:szCs w:val="21"/>
        </w:rPr>
        <w:t>单位：元</w:t>
      </w:r>
    </w:p>
    <w:tbl>
      <w:tblPr>
        <w:tblW w:w="896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97"/>
        <w:gridCol w:w="2287"/>
        <w:gridCol w:w="2127"/>
        <w:gridCol w:w="2153"/>
      </w:tblGrid>
      <w:tr w:rsidR="00B94FFE" w:rsidRPr="008E1D6B" w:rsidTr="008E1D6B">
        <w:trPr>
          <w:trHeight w:val="369"/>
          <w:jc w:val="center"/>
        </w:trPr>
        <w:tc>
          <w:tcPr>
            <w:tcW w:w="2397" w:type="dxa"/>
            <w:shd w:val="clear" w:color="000000" w:fill="D9D9D9"/>
            <w:vAlign w:val="center"/>
          </w:tcPr>
          <w:p w:rsidR="00B94FFE" w:rsidRPr="008E1D6B" w:rsidRDefault="00B94FFE" w:rsidP="00235A5C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项目</w:t>
            </w:r>
          </w:p>
        </w:tc>
        <w:tc>
          <w:tcPr>
            <w:tcW w:w="2287" w:type="dxa"/>
            <w:shd w:val="clear" w:color="000000" w:fill="D9D9D9"/>
            <w:vAlign w:val="center"/>
          </w:tcPr>
          <w:p w:rsidR="00B94FFE" w:rsidRPr="008E1D6B" w:rsidRDefault="00B94FFE" w:rsidP="0063314A">
            <w:pPr>
              <w:ind w:firstLine="422"/>
              <w:jc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/>
                <w:b/>
                <w:bCs/>
                <w:color w:val="000000"/>
                <w:szCs w:val="21"/>
              </w:rPr>
              <w:t>202</w:t>
            </w:r>
            <w:r w:rsidR="0063314A" w:rsidRPr="008E1D6B">
              <w:rPr>
                <w:rFonts w:eastAsiaTheme="minorEastAsia"/>
                <w:b/>
                <w:bCs/>
                <w:color w:val="000000"/>
                <w:szCs w:val="21"/>
              </w:rPr>
              <w:t>5</w:t>
            </w: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年末</w:t>
            </w:r>
          </w:p>
        </w:tc>
        <w:tc>
          <w:tcPr>
            <w:tcW w:w="2127" w:type="dxa"/>
            <w:shd w:val="clear" w:color="000000" w:fill="D9D9D9"/>
            <w:vAlign w:val="center"/>
          </w:tcPr>
          <w:p w:rsidR="00B94FFE" w:rsidRPr="008E1D6B" w:rsidRDefault="00B94FFE" w:rsidP="0063314A">
            <w:pPr>
              <w:ind w:firstLine="422"/>
              <w:jc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/>
                <w:b/>
                <w:bCs/>
                <w:color w:val="000000"/>
                <w:szCs w:val="21"/>
              </w:rPr>
              <w:t>202</w:t>
            </w:r>
            <w:r w:rsidR="0063314A" w:rsidRPr="008E1D6B">
              <w:rPr>
                <w:rFonts w:eastAsiaTheme="minorEastAsia"/>
                <w:b/>
                <w:bCs/>
                <w:color w:val="000000"/>
                <w:szCs w:val="21"/>
              </w:rPr>
              <w:t>4</w:t>
            </w: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年末</w:t>
            </w:r>
          </w:p>
        </w:tc>
        <w:tc>
          <w:tcPr>
            <w:tcW w:w="2153" w:type="dxa"/>
            <w:shd w:val="clear" w:color="000000" w:fill="D9D9D9"/>
            <w:noWrap/>
            <w:vAlign w:val="center"/>
          </w:tcPr>
          <w:p w:rsidR="00B94FFE" w:rsidRPr="008E1D6B" w:rsidRDefault="00B94FFE" w:rsidP="00546543">
            <w:pPr>
              <w:jc w:val="center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增减变动幅度</w:t>
            </w:r>
          </w:p>
        </w:tc>
      </w:tr>
      <w:tr w:rsidR="001C1191" w:rsidRPr="008E1D6B" w:rsidTr="008E1D6B">
        <w:trPr>
          <w:trHeight w:val="369"/>
          <w:jc w:val="center"/>
        </w:trPr>
        <w:tc>
          <w:tcPr>
            <w:tcW w:w="2397" w:type="dxa"/>
            <w:shd w:val="clear" w:color="000000" w:fill="D9D9D9"/>
            <w:vAlign w:val="center"/>
          </w:tcPr>
          <w:p w:rsidR="001C1191" w:rsidRPr="008E1D6B" w:rsidRDefault="001C1191" w:rsidP="001C1191"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股本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91" w:rsidRPr="008E1D6B" w:rsidRDefault="001C1191" w:rsidP="001C1191">
            <w:pPr>
              <w:widowControl/>
              <w:ind w:firstLine="420"/>
              <w:jc w:val="right"/>
              <w:rPr>
                <w:rFonts w:eastAsiaTheme="minorEastAsia"/>
                <w:b/>
                <w:color w:val="000000"/>
                <w:szCs w:val="21"/>
              </w:rPr>
            </w:pPr>
            <w:r w:rsidRPr="008E1D6B">
              <w:rPr>
                <w:rFonts w:eastAsiaTheme="minorEastAsia"/>
                <w:b/>
                <w:color w:val="000000"/>
                <w:szCs w:val="21"/>
              </w:rPr>
              <w:t>246,790,497.00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1191" w:rsidRPr="008E1D6B" w:rsidRDefault="001C1191" w:rsidP="001C1191">
            <w:pPr>
              <w:widowControl/>
              <w:ind w:firstLine="420"/>
              <w:jc w:val="right"/>
              <w:rPr>
                <w:rFonts w:eastAsiaTheme="minorEastAsia"/>
                <w:b/>
                <w:color w:val="000000"/>
                <w:szCs w:val="21"/>
              </w:rPr>
            </w:pPr>
            <w:r w:rsidRPr="008E1D6B">
              <w:rPr>
                <w:rFonts w:eastAsiaTheme="minorEastAsia"/>
                <w:b/>
                <w:color w:val="000000"/>
                <w:szCs w:val="21"/>
              </w:rPr>
              <w:t>243,618,497.00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91" w:rsidRPr="008E1D6B" w:rsidRDefault="001C1191" w:rsidP="001C1191">
            <w:pPr>
              <w:widowControl/>
              <w:ind w:firstLine="420"/>
              <w:jc w:val="right"/>
              <w:rPr>
                <w:rFonts w:eastAsiaTheme="minorEastAsia"/>
                <w:b/>
                <w:color w:val="000000"/>
                <w:szCs w:val="21"/>
              </w:rPr>
            </w:pPr>
            <w:r w:rsidRPr="008E1D6B">
              <w:rPr>
                <w:rFonts w:eastAsiaTheme="minorEastAsia"/>
                <w:b/>
                <w:color w:val="000000"/>
                <w:szCs w:val="21"/>
              </w:rPr>
              <w:t>1.30%</w:t>
            </w:r>
          </w:p>
        </w:tc>
      </w:tr>
      <w:tr w:rsidR="001C1191" w:rsidRPr="008E1D6B" w:rsidTr="008E1D6B">
        <w:trPr>
          <w:trHeight w:val="369"/>
          <w:jc w:val="center"/>
        </w:trPr>
        <w:tc>
          <w:tcPr>
            <w:tcW w:w="2397" w:type="dxa"/>
            <w:shd w:val="clear" w:color="000000" w:fill="D9D9D9"/>
            <w:vAlign w:val="center"/>
          </w:tcPr>
          <w:p w:rsidR="001C1191" w:rsidRPr="008E1D6B" w:rsidRDefault="001C1191" w:rsidP="001C1191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资本公积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91" w:rsidRPr="008E1D6B" w:rsidRDefault="001C1191" w:rsidP="001C1191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909,802,748.67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1191" w:rsidRPr="008E1D6B" w:rsidRDefault="001C1191" w:rsidP="001C1191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888,124,384.27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91" w:rsidRPr="008E1D6B" w:rsidRDefault="001C1191" w:rsidP="001C1191">
            <w:pPr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2.44%</w:t>
            </w:r>
          </w:p>
        </w:tc>
      </w:tr>
      <w:tr w:rsidR="001C1191" w:rsidRPr="008E1D6B" w:rsidTr="008E1D6B">
        <w:trPr>
          <w:trHeight w:val="369"/>
          <w:jc w:val="center"/>
        </w:trPr>
        <w:tc>
          <w:tcPr>
            <w:tcW w:w="2397" w:type="dxa"/>
            <w:shd w:val="clear" w:color="000000" w:fill="D9D9D9"/>
            <w:vAlign w:val="center"/>
          </w:tcPr>
          <w:p w:rsidR="001C1191" w:rsidRPr="008E1D6B" w:rsidRDefault="001C1191" w:rsidP="001C1191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减：库存股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C1191" w:rsidRPr="008E1D6B" w:rsidRDefault="002B04E3" w:rsidP="001C1191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20,143,151.60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1191" w:rsidRPr="008E1D6B" w:rsidRDefault="001C1191" w:rsidP="001C1191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0</w:t>
            </w:r>
            <w:r w:rsidRPr="008E1D6B">
              <w:rPr>
                <w:rFonts w:eastAsiaTheme="minorEastAsia"/>
                <w:color w:val="000000"/>
                <w:szCs w:val="21"/>
              </w:rPr>
              <w:t>.00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 w:rsidR="001C1191" w:rsidRPr="008E1D6B" w:rsidRDefault="00AB5DC8" w:rsidP="001C1191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-</w:t>
            </w:r>
          </w:p>
        </w:tc>
      </w:tr>
      <w:tr w:rsidR="001C1191" w:rsidRPr="008E1D6B" w:rsidTr="008E1D6B">
        <w:trPr>
          <w:trHeight w:val="369"/>
          <w:jc w:val="center"/>
        </w:trPr>
        <w:tc>
          <w:tcPr>
            <w:tcW w:w="2397" w:type="dxa"/>
            <w:shd w:val="clear" w:color="000000" w:fill="D9D9D9"/>
            <w:vAlign w:val="center"/>
          </w:tcPr>
          <w:p w:rsidR="001C1191" w:rsidRPr="008E1D6B" w:rsidRDefault="001C1191" w:rsidP="001C1191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专项储备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91" w:rsidRPr="008E1D6B" w:rsidRDefault="001C1191" w:rsidP="001C1191">
            <w:pPr>
              <w:widowControl/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6,138,686.09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1191" w:rsidRPr="008E1D6B" w:rsidRDefault="001C1191" w:rsidP="001C1191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4,499,402.46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91" w:rsidRPr="008E1D6B" w:rsidRDefault="001C1191" w:rsidP="001C1191">
            <w:pPr>
              <w:widowControl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36.43%</w:t>
            </w:r>
          </w:p>
        </w:tc>
      </w:tr>
      <w:tr w:rsidR="001C1191" w:rsidRPr="008E1D6B" w:rsidTr="008E1D6B">
        <w:trPr>
          <w:trHeight w:val="369"/>
          <w:jc w:val="center"/>
        </w:trPr>
        <w:tc>
          <w:tcPr>
            <w:tcW w:w="2397" w:type="dxa"/>
            <w:shd w:val="clear" w:color="000000" w:fill="D9D9D9"/>
            <w:vAlign w:val="center"/>
          </w:tcPr>
          <w:p w:rsidR="001C1191" w:rsidRPr="008E1D6B" w:rsidRDefault="001C1191" w:rsidP="001C1191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盈余公积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91" w:rsidRPr="008E1D6B" w:rsidRDefault="001C1191" w:rsidP="001C1191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71,901,985.45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1191" w:rsidRPr="008E1D6B" w:rsidRDefault="001C1191" w:rsidP="001C1191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66,488,614.21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191" w:rsidRPr="008E1D6B" w:rsidRDefault="001C1191" w:rsidP="001C1191">
            <w:pPr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8.14%</w:t>
            </w:r>
          </w:p>
        </w:tc>
      </w:tr>
      <w:tr w:rsidR="00E52F8D" w:rsidRPr="008E1D6B" w:rsidTr="008E1D6B">
        <w:trPr>
          <w:trHeight w:val="369"/>
          <w:jc w:val="center"/>
        </w:trPr>
        <w:tc>
          <w:tcPr>
            <w:tcW w:w="2397" w:type="dxa"/>
            <w:shd w:val="clear" w:color="000000" w:fill="D9D9D9"/>
            <w:vAlign w:val="center"/>
          </w:tcPr>
          <w:p w:rsidR="00E52F8D" w:rsidRPr="008E1D6B" w:rsidRDefault="00E52F8D" w:rsidP="00E52F8D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未分配利润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8D" w:rsidRPr="008E1D6B" w:rsidRDefault="00E52F8D" w:rsidP="00E52F8D">
            <w:pPr>
              <w:widowControl/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285,600,597.51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8D" w:rsidRPr="008E1D6B" w:rsidRDefault="00E52F8D" w:rsidP="00E52F8D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258,919,993.40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8D" w:rsidRPr="008E1D6B" w:rsidRDefault="00E52F8D" w:rsidP="00E52F8D">
            <w:pPr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10.30%</w:t>
            </w:r>
          </w:p>
        </w:tc>
      </w:tr>
      <w:tr w:rsidR="00E52F8D" w:rsidRPr="008E1D6B" w:rsidTr="008E1D6B">
        <w:trPr>
          <w:trHeight w:val="369"/>
          <w:jc w:val="center"/>
        </w:trPr>
        <w:tc>
          <w:tcPr>
            <w:tcW w:w="2397" w:type="dxa"/>
            <w:shd w:val="clear" w:color="000000" w:fill="D9D9D9"/>
            <w:vAlign w:val="center"/>
          </w:tcPr>
          <w:p w:rsidR="00E52F8D" w:rsidRPr="008E1D6B" w:rsidRDefault="00E52F8D" w:rsidP="00E52F8D"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所有者权益合计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8D" w:rsidRPr="008E1D6B" w:rsidRDefault="002B04E3" w:rsidP="00E52F8D">
            <w:pPr>
              <w:widowControl/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1,500,091,363.12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8D" w:rsidRPr="008E1D6B" w:rsidRDefault="00E52F8D" w:rsidP="00E52F8D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1,461,650,891.34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8D" w:rsidRPr="008E1D6B" w:rsidRDefault="00E52F8D" w:rsidP="002B04E3">
            <w:pPr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2.6</w:t>
            </w:r>
            <w:r w:rsidR="002B04E3" w:rsidRPr="008E1D6B">
              <w:rPr>
                <w:b/>
                <w:bCs/>
                <w:color w:val="000000"/>
              </w:rPr>
              <w:t>3</w:t>
            </w:r>
            <w:r w:rsidRPr="008E1D6B">
              <w:rPr>
                <w:b/>
                <w:bCs/>
                <w:color w:val="000000"/>
              </w:rPr>
              <w:t>%</w:t>
            </w:r>
          </w:p>
        </w:tc>
      </w:tr>
      <w:tr w:rsidR="001C1191" w:rsidRPr="008E1D6B" w:rsidTr="008E1D6B">
        <w:trPr>
          <w:trHeight w:val="369"/>
          <w:jc w:val="center"/>
        </w:trPr>
        <w:tc>
          <w:tcPr>
            <w:tcW w:w="2397" w:type="dxa"/>
            <w:shd w:val="clear" w:color="000000" w:fill="D9D9D9"/>
            <w:vAlign w:val="center"/>
          </w:tcPr>
          <w:p w:rsidR="001C1191" w:rsidRPr="008E1D6B" w:rsidRDefault="001C1191" w:rsidP="001C1191">
            <w:pPr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负债和所有者权益总计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91" w:rsidRPr="008E1D6B" w:rsidRDefault="001C1191" w:rsidP="001C1191">
            <w:pPr>
              <w:ind w:firstLineChars="200" w:firstLine="422"/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2,587,024,570.03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1191" w:rsidRPr="008E1D6B" w:rsidRDefault="001C1191" w:rsidP="001C1191">
            <w:pPr>
              <w:widowControl/>
              <w:ind w:firstLine="420"/>
              <w:jc w:val="right"/>
              <w:rPr>
                <w:rFonts w:eastAsiaTheme="minorEastAsia"/>
                <w:b/>
                <w:color w:val="000000"/>
                <w:szCs w:val="21"/>
              </w:rPr>
            </w:pPr>
            <w:r w:rsidRPr="008E1D6B">
              <w:rPr>
                <w:rFonts w:eastAsiaTheme="minorEastAsia"/>
                <w:b/>
                <w:bCs/>
                <w:color w:val="000000"/>
                <w:szCs w:val="21"/>
              </w:rPr>
              <w:t>2,407,259,568.78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191" w:rsidRPr="008E1D6B" w:rsidRDefault="001C1191" w:rsidP="001C1191">
            <w:pPr>
              <w:jc w:val="right"/>
              <w:rPr>
                <w:b/>
                <w:bCs/>
                <w:color w:val="000000"/>
              </w:rPr>
            </w:pPr>
            <w:r w:rsidRPr="008E1D6B">
              <w:rPr>
                <w:b/>
                <w:bCs/>
                <w:color w:val="000000"/>
              </w:rPr>
              <w:t>7.47%</w:t>
            </w:r>
          </w:p>
        </w:tc>
        <w:bookmarkStart w:id="1" w:name="_GoBack"/>
        <w:bookmarkEnd w:id="1"/>
      </w:tr>
    </w:tbl>
    <w:p w:rsidR="00BA77C0" w:rsidRPr="008E1D6B" w:rsidRDefault="00BA77C0" w:rsidP="008E1D6B">
      <w:pPr>
        <w:spacing w:beforeLines="50" w:before="156" w:line="360" w:lineRule="auto"/>
        <w:ind w:firstLineChars="200" w:firstLine="480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 w:hint="eastAsia"/>
          <w:sz w:val="24"/>
          <w:szCs w:val="24"/>
        </w:rPr>
        <w:t>1</w:t>
      </w:r>
      <w:r w:rsidRPr="008E1D6B">
        <w:rPr>
          <w:rFonts w:ascii="Arial" w:eastAsiaTheme="minorEastAsia" w:hAnsi="Arial" w:cs="Arial" w:hint="eastAsia"/>
          <w:sz w:val="24"/>
          <w:szCs w:val="24"/>
        </w:rPr>
        <w:t>、库存股较年初增加</w:t>
      </w:r>
      <w:r w:rsidR="00AB5DC8" w:rsidRPr="00AB5DC8">
        <w:rPr>
          <w:rFonts w:ascii="Arial" w:eastAsiaTheme="minorEastAsia" w:hAnsi="Arial" w:cs="Arial"/>
          <w:sz w:val="24"/>
          <w:szCs w:val="24"/>
        </w:rPr>
        <w:t>20,143,151.60</w:t>
      </w:r>
      <w:r w:rsidR="00AB5DC8">
        <w:rPr>
          <w:rFonts w:ascii="Arial" w:eastAsiaTheme="minorEastAsia" w:hAnsi="Arial" w:cs="Arial" w:hint="eastAsia"/>
          <w:sz w:val="24"/>
          <w:szCs w:val="24"/>
        </w:rPr>
        <w:t>元</w:t>
      </w:r>
      <w:r w:rsidRPr="008E1D6B">
        <w:rPr>
          <w:rFonts w:ascii="Arial" w:eastAsiaTheme="minorEastAsia" w:hAnsi="Arial" w:cs="Arial"/>
          <w:sz w:val="24"/>
          <w:szCs w:val="24"/>
        </w:rPr>
        <w:t>，主要原因是员工股权激励所致。</w:t>
      </w:r>
    </w:p>
    <w:p w:rsidR="001B5B60" w:rsidRPr="008E1D6B" w:rsidRDefault="00BA77C0" w:rsidP="008E1D6B">
      <w:pPr>
        <w:spacing w:line="360" w:lineRule="auto"/>
        <w:ind w:firstLineChars="200" w:firstLine="480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2</w:t>
      </w:r>
      <w:r w:rsidR="00B94FFE" w:rsidRPr="008E1D6B">
        <w:rPr>
          <w:rFonts w:ascii="Arial" w:eastAsiaTheme="minorEastAsia" w:hAnsi="Arial" w:cs="Arial" w:hint="eastAsia"/>
          <w:sz w:val="24"/>
          <w:szCs w:val="24"/>
        </w:rPr>
        <w:t>、专项</w:t>
      </w:r>
      <w:proofErr w:type="gramStart"/>
      <w:r w:rsidR="00B94FFE" w:rsidRPr="008E1D6B">
        <w:rPr>
          <w:rFonts w:ascii="Arial" w:eastAsiaTheme="minorEastAsia" w:hAnsi="Arial" w:cs="Arial" w:hint="eastAsia"/>
          <w:sz w:val="24"/>
          <w:szCs w:val="24"/>
        </w:rPr>
        <w:t>储备较</w:t>
      </w:r>
      <w:proofErr w:type="gramEnd"/>
      <w:r w:rsidR="00B94FFE" w:rsidRPr="008E1D6B">
        <w:rPr>
          <w:rFonts w:ascii="Arial" w:eastAsiaTheme="minorEastAsia" w:hAnsi="Arial" w:cs="Arial" w:hint="eastAsia"/>
          <w:sz w:val="24"/>
          <w:szCs w:val="24"/>
        </w:rPr>
        <w:t>年初增加</w:t>
      </w:r>
      <w:r w:rsidRPr="008E1D6B">
        <w:rPr>
          <w:rFonts w:ascii="Arial" w:eastAsiaTheme="minorEastAsia" w:hAnsi="Arial" w:cs="Arial"/>
          <w:sz w:val="24"/>
          <w:szCs w:val="24"/>
        </w:rPr>
        <w:t>36.43</w:t>
      </w:r>
      <w:r w:rsidR="00B94FFE"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="00B94FFE" w:rsidRPr="008E1D6B">
        <w:rPr>
          <w:rFonts w:ascii="Arial" w:eastAsiaTheme="minorEastAsia" w:hAnsi="Arial" w:cs="Arial" w:hint="eastAsia"/>
          <w:sz w:val="24"/>
          <w:szCs w:val="24"/>
        </w:rPr>
        <w:t>，主要原因是本年提取的安全生产费结余所致。</w:t>
      </w:r>
    </w:p>
    <w:p w:rsidR="001B5B60" w:rsidRPr="008E1D6B" w:rsidRDefault="001B5B60" w:rsidP="00A70A62">
      <w:pPr>
        <w:pStyle w:val="a7"/>
        <w:spacing w:beforeLines="25" w:before="78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 w:rsidRPr="008E1D6B">
        <w:rPr>
          <w:rFonts w:ascii="Arial" w:hAnsi="宋体" w:cs="Arial"/>
          <w:b/>
          <w:sz w:val="24"/>
          <w:szCs w:val="24"/>
        </w:rPr>
        <w:t>四、经营成果</w:t>
      </w:r>
    </w:p>
    <w:p w:rsidR="00235A5C" w:rsidRPr="008E1D6B" w:rsidRDefault="001B5B60" w:rsidP="001B5B60">
      <w:pPr>
        <w:ind w:firstLine="480"/>
        <w:jc w:val="right"/>
        <w:rPr>
          <w:rFonts w:asciiTheme="minorEastAsia" w:eastAsiaTheme="minorEastAsia" w:hAnsiTheme="minorEastAsia" w:cs="Arial"/>
          <w:szCs w:val="21"/>
        </w:rPr>
      </w:pPr>
      <w:r w:rsidRPr="008E1D6B">
        <w:rPr>
          <w:rFonts w:asciiTheme="minorEastAsia" w:eastAsiaTheme="minorEastAsia" w:hAnsiTheme="minorEastAsia" w:cs="Arial"/>
          <w:szCs w:val="21"/>
        </w:rPr>
        <w:t>单位：元</w:t>
      </w:r>
    </w:p>
    <w:tbl>
      <w:tblPr>
        <w:tblW w:w="88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93"/>
        <w:gridCol w:w="2253"/>
        <w:gridCol w:w="2410"/>
        <w:gridCol w:w="2126"/>
      </w:tblGrid>
      <w:tr w:rsidR="00235A5C" w:rsidRPr="008E1D6B" w:rsidTr="00546543">
        <w:trPr>
          <w:trHeight w:val="369"/>
          <w:jc w:val="center"/>
        </w:trPr>
        <w:tc>
          <w:tcPr>
            <w:tcW w:w="2093" w:type="dxa"/>
            <w:shd w:val="clear" w:color="auto" w:fill="D9D9D9"/>
            <w:noWrap/>
            <w:vAlign w:val="center"/>
          </w:tcPr>
          <w:p w:rsidR="00235A5C" w:rsidRPr="008E1D6B" w:rsidRDefault="00235A5C" w:rsidP="008E1D6B">
            <w:pPr>
              <w:ind w:firstLine="561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lastRenderedPageBreak/>
              <w:t>项目</w:t>
            </w:r>
          </w:p>
        </w:tc>
        <w:tc>
          <w:tcPr>
            <w:tcW w:w="2253" w:type="dxa"/>
            <w:shd w:val="clear" w:color="auto" w:fill="D9D9D9"/>
            <w:noWrap/>
            <w:vAlign w:val="center"/>
          </w:tcPr>
          <w:p w:rsidR="00235A5C" w:rsidRPr="008E1D6B" w:rsidRDefault="00235A5C" w:rsidP="008E1D6B">
            <w:pPr>
              <w:ind w:firstLine="561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/>
                <w:b/>
                <w:bCs/>
                <w:color w:val="000000"/>
                <w:szCs w:val="21"/>
              </w:rPr>
              <w:t>202</w:t>
            </w:r>
            <w:r w:rsidR="0063314A" w:rsidRPr="008E1D6B">
              <w:rPr>
                <w:rFonts w:eastAsiaTheme="minorEastAsia"/>
                <w:b/>
                <w:bCs/>
                <w:color w:val="000000"/>
                <w:szCs w:val="21"/>
              </w:rPr>
              <w:t>5</w:t>
            </w: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年末</w:t>
            </w:r>
          </w:p>
        </w:tc>
        <w:tc>
          <w:tcPr>
            <w:tcW w:w="2410" w:type="dxa"/>
            <w:shd w:val="clear" w:color="auto" w:fill="D9D9D9"/>
            <w:noWrap/>
            <w:vAlign w:val="center"/>
          </w:tcPr>
          <w:p w:rsidR="00235A5C" w:rsidRPr="008E1D6B" w:rsidRDefault="00235A5C" w:rsidP="008E1D6B">
            <w:pPr>
              <w:ind w:firstLine="561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/>
                <w:b/>
                <w:bCs/>
                <w:color w:val="000000"/>
                <w:szCs w:val="21"/>
              </w:rPr>
              <w:t>202</w:t>
            </w:r>
            <w:r w:rsidR="0063314A" w:rsidRPr="008E1D6B">
              <w:rPr>
                <w:rFonts w:eastAsiaTheme="minorEastAsia"/>
                <w:b/>
                <w:bCs/>
                <w:color w:val="000000"/>
                <w:szCs w:val="21"/>
              </w:rPr>
              <w:t>4</w:t>
            </w: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年末</w:t>
            </w:r>
          </w:p>
        </w:tc>
        <w:tc>
          <w:tcPr>
            <w:tcW w:w="2126" w:type="dxa"/>
            <w:shd w:val="clear" w:color="auto" w:fill="D9D9D9"/>
            <w:noWrap/>
            <w:vAlign w:val="center"/>
          </w:tcPr>
          <w:p w:rsidR="00235A5C" w:rsidRPr="008E1D6B" w:rsidRDefault="00235A5C" w:rsidP="008E1D6B">
            <w:pPr>
              <w:ind w:firstLine="561"/>
              <w:rPr>
                <w:rFonts w:eastAsiaTheme="minorEastAsia"/>
                <w:b/>
                <w:bCs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b/>
                <w:bCs/>
                <w:color w:val="000000"/>
                <w:szCs w:val="21"/>
              </w:rPr>
              <w:t>增减变动幅度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营业总收入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widowControl/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1,385,084,574.67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1,705,674,597.38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widowControl/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-18.80%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营业成本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1,140,549,797.68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1,398,322,297.00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-18.43%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税金及附加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13,336,139.76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15,813,776.26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-15.67%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销售费用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16,281,366.28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21,730,335.93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-25.08%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管理费用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108,362,506.54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103,353,851.01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4.85%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研发费用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59,981,225.11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71,805,781.38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-16.47%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财务费用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-6,657,415.01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1,635,270.83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-507.11%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信用减值损失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-37,115,765.27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-28,599,021.12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29.78%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资产减值损失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-6,360,938.83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-2,384,533.17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166.76%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投资收益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widowControl/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-94.12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140,971.00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widowControl/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-100.07%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其他收益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47,352,908.21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9,152,454.22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417.38%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公允价值变动收益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-5,170.01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-354,385.49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-98.54%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营业利润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57,101,894.29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70,968,770.41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-19.54%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营业外收入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713,969.66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393,038.73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81.65%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营业外支出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558,864.89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578,233.67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-3.35%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利润总额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57,256,999.06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70,783,575.47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-19.11%</w:t>
            </w:r>
          </w:p>
        </w:tc>
      </w:tr>
      <w:tr w:rsidR="0063314A" w:rsidRPr="008E1D6B" w:rsidTr="00B62F70">
        <w:trPr>
          <w:trHeight w:val="369"/>
          <w:jc w:val="center"/>
        </w:trPr>
        <w:tc>
          <w:tcPr>
            <w:tcW w:w="2093" w:type="dxa"/>
            <w:shd w:val="clear" w:color="auto" w:fill="D9D9D9" w:themeFill="background1" w:themeFillShade="D9"/>
            <w:noWrap/>
            <w:vAlign w:val="center"/>
          </w:tcPr>
          <w:p w:rsidR="0063314A" w:rsidRPr="008E1D6B" w:rsidRDefault="0063314A" w:rsidP="0063314A">
            <w:pPr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 w:hint="eastAsia"/>
                <w:color w:val="000000"/>
                <w:szCs w:val="21"/>
              </w:rPr>
              <w:t>净利润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54,113,848.48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63314A" w:rsidRPr="008E1D6B" w:rsidRDefault="0063314A" w:rsidP="0063314A">
            <w:pPr>
              <w:widowControl/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68,398,464.80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A" w:rsidRPr="008E1D6B" w:rsidRDefault="0063314A" w:rsidP="0063314A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-20.88%</w:t>
            </w:r>
          </w:p>
        </w:tc>
      </w:tr>
    </w:tbl>
    <w:p w:rsidR="001B5B60" w:rsidRPr="008E1D6B" w:rsidRDefault="001B5B60" w:rsidP="006128BD">
      <w:pPr>
        <w:spacing w:line="360" w:lineRule="auto"/>
        <w:ind w:firstLine="562"/>
        <w:rPr>
          <w:rFonts w:eastAsiaTheme="minorEastAsia"/>
          <w:b/>
          <w:sz w:val="24"/>
          <w:szCs w:val="24"/>
        </w:rPr>
      </w:pPr>
      <w:r w:rsidRPr="008E1D6B">
        <w:rPr>
          <w:rFonts w:eastAsiaTheme="minorEastAsia"/>
          <w:b/>
          <w:sz w:val="24"/>
          <w:szCs w:val="24"/>
        </w:rPr>
        <w:t>主要项目变动分析：</w:t>
      </w:r>
    </w:p>
    <w:p w:rsidR="006B6C07" w:rsidRPr="008E1D6B" w:rsidRDefault="0063314A" w:rsidP="008E1D6B">
      <w:pPr>
        <w:spacing w:line="324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1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、财务费用较上年同期减少</w:t>
      </w:r>
      <w:r w:rsidRPr="008E1D6B">
        <w:rPr>
          <w:rFonts w:ascii="Arial" w:eastAsiaTheme="minorEastAsia" w:hAnsi="Arial" w:cs="Arial"/>
          <w:sz w:val="24"/>
          <w:szCs w:val="24"/>
        </w:rPr>
        <w:t>507.11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，主要原因是</w:t>
      </w:r>
      <w:r w:rsidR="00385397" w:rsidRPr="008E1D6B">
        <w:rPr>
          <w:rFonts w:ascii="Arial" w:eastAsiaTheme="minorEastAsia" w:hAnsi="Arial" w:cs="Arial" w:hint="eastAsia"/>
          <w:sz w:val="24"/>
          <w:szCs w:val="24"/>
        </w:rPr>
        <w:t>汇兑损益增加及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利息支出减少所致。</w:t>
      </w:r>
    </w:p>
    <w:p w:rsidR="006B6C07" w:rsidRPr="008E1D6B" w:rsidRDefault="0063314A" w:rsidP="008E1D6B">
      <w:pPr>
        <w:spacing w:line="324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2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、</w:t>
      </w:r>
      <w:r w:rsidRPr="008E1D6B">
        <w:rPr>
          <w:rFonts w:ascii="Arial" w:eastAsiaTheme="minorEastAsia" w:hAnsi="Arial" w:cs="Arial" w:hint="eastAsia"/>
          <w:sz w:val="24"/>
          <w:szCs w:val="24"/>
        </w:rPr>
        <w:t>资产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减值损失较上年同期增加</w:t>
      </w:r>
      <w:r w:rsidRPr="008E1D6B">
        <w:rPr>
          <w:rFonts w:ascii="Arial" w:eastAsiaTheme="minorEastAsia" w:hAnsi="Arial" w:cs="Arial"/>
          <w:sz w:val="24"/>
          <w:szCs w:val="24"/>
        </w:rPr>
        <w:t>166.76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，主要原因是</w:t>
      </w:r>
      <w:r w:rsidRPr="008E1D6B">
        <w:rPr>
          <w:rFonts w:ascii="Arial" w:eastAsiaTheme="minorEastAsia" w:hAnsi="Arial" w:cs="Arial" w:hint="eastAsia"/>
          <w:sz w:val="24"/>
          <w:szCs w:val="24"/>
        </w:rPr>
        <w:t>计提存货跌价准备、合同资产减值损失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增加所致。</w:t>
      </w:r>
    </w:p>
    <w:p w:rsidR="006B6C07" w:rsidRPr="008E1D6B" w:rsidRDefault="00120DE9" w:rsidP="008E1D6B">
      <w:pPr>
        <w:tabs>
          <w:tab w:val="left" w:pos="567"/>
        </w:tabs>
        <w:spacing w:line="324" w:lineRule="auto"/>
        <w:ind w:firstLine="561"/>
        <w:jc w:val="left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3</w:t>
      </w:r>
      <w:r w:rsidR="0063314A" w:rsidRPr="008E1D6B">
        <w:rPr>
          <w:rFonts w:ascii="Arial" w:eastAsiaTheme="minorEastAsia" w:hAnsi="Arial" w:cs="Arial"/>
          <w:sz w:val="24"/>
          <w:szCs w:val="24"/>
        </w:rPr>
        <w:t>、其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他收益较上年同期</w:t>
      </w:r>
      <w:r w:rsidR="0063314A" w:rsidRPr="008E1D6B">
        <w:rPr>
          <w:rFonts w:ascii="Arial" w:eastAsiaTheme="minorEastAsia" w:hAnsi="Arial" w:cs="Arial" w:hint="eastAsia"/>
          <w:sz w:val="24"/>
          <w:szCs w:val="24"/>
        </w:rPr>
        <w:t>增加</w:t>
      </w:r>
      <w:r w:rsidR="0063314A" w:rsidRPr="008E1D6B">
        <w:rPr>
          <w:rFonts w:ascii="Arial" w:eastAsiaTheme="minorEastAsia" w:hAnsi="Arial" w:cs="Arial"/>
          <w:sz w:val="24"/>
          <w:szCs w:val="24"/>
        </w:rPr>
        <w:t>417.38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，主要原因是确认与经营相关的政府补贴</w:t>
      </w:r>
      <w:r w:rsidR="0063314A" w:rsidRPr="008E1D6B">
        <w:rPr>
          <w:rFonts w:ascii="Arial" w:eastAsiaTheme="minorEastAsia" w:hAnsi="Arial" w:cs="Arial" w:hint="eastAsia"/>
          <w:sz w:val="24"/>
          <w:szCs w:val="24"/>
        </w:rPr>
        <w:t>增加</w:t>
      </w:r>
      <w:r w:rsidR="006B6C07" w:rsidRPr="008E1D6B">
        <w:rPr>
          <w:rFonts w:ascii="Arial" w:eastAsiaTheme="minorEastAsia" w:hAnsi="Arial" w:cs="Arial" w:hint="eastAsia"/>
          <w:sz w:val="24"/>
          <w:szCs w:val="24"/>
        </w:rPr>
        <w:t>所致。</w:t>
      </w:r>
    </w:p>
    <w:p w:rsidR="0063314A" w:rsidRPr="008E1D6B" w:rsidRDefault="00120DE9" w:rsidP="008E1D6B">
      <w:pPr>
        <w:tabs>
          <w:tab w:val="left" w:pos="567"/>
        </w:tabs>
        <w:spacing w:line="324" w:lineRule="auto"/>
        <w:ind w:firstLine="561"/>
        <w:jc w:val="left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4</w:t>
      </w:r>
      <w:r w:rsidR="0063314A" w:rsidRPr="008E1D6B">
        <w:rPr>
          <w:rFonts w:ascii="Arial" w:eastAsiaTheme="minorEastAsia" w:hAnsi="Arial" w:cs="Arial" w:hint="eastAsia"/>
          <w:sz w:val="24"/>
          <w:szCs w:val="24"/>
        </w:rPr>
        <w:t>、</w:t>
      </w:r>
      <w:r w:rsidR="0063314A" w:rsidRPr="008E1D6B">
        <w:rPr>
          <w:rFonts w:eastAsiaTheme="minorEastAsia" w:hint="eastAsia"/>
          <w:color w:val="000000"/>
          <w:szCs w:val="21"/>
        </w:rPr>
        <w:t>营业外收入</w:t>
      </w:r>
      <w:r w:rsidR="0063314A" w:rsidRPr="008E1D6B">
        <w:rPr>
          <w:rFonts w:ascii="Arial" w:eastAsiaTheme="minorEastAsia" w:hAnsi="Arial" w:cs="Arial" w:hint="eastAsia"/>
          <w:sz w:val="24"/>
          <w:szCs w:val="24"/>
        </w:rPr>
        <w:t>较上年同期增加</w:t>
      </w:r>
      <w:r w:rsidR="0063314A" w:rsidRPr="008E1D6B">
        <w:rPr>
          <w:rFonts w:ascii="Arial" w:eastAsiaTheme="minorEastAsia" w:hAnsi="Arial" w:cs="Arial"/>
          <w:sz w:val="24"/>
          <w:szCs w:val="24"/>
        </w:rPr>
        <w:t>81.65%</w:t>
      </w:r>
      <w:r w:rsidR="0063314A" w:rsidRPr="008E1D6B">
        <w:rPr>
          <w:rFonts w:ascii="Arial" w:eastAsiaTheme="minorEastAsia" w:hAnsi="Arial" w:cs="Arial"/>
          <w:sz w:val="24"/>
          <w:szCs w:val="24"/>
        </w:rPr>
        <w:t>，</w:t>
      </w:r>
      <w:r w:rsidR="0063314A" w:rsidRPr="008E1D6B">
        <w:rPr>
          <w:rFonts w:ascii="Arial" w:eastAsiaTheme="minorEastAsia" w:hAnsi="Arial" w:cs="Arial" w:hint="eastAsia"/>
          <w:sz w:val="24"/>
          <w:szCs w:val="24"/>
        </w:rPr>
        <w:t>主要原因是</w:t>
      </w:r>
      <w:r w:rsidR="00392D69" w:rsidRPr="008E1D6B">
        <w:rPr>
          <w:rFonts w:ascii="Arial" w:eastAsiaTheme="minorEastAsia" w:hAnsi="Arial" w:cs="Arial" w:hint="eastAsia"/>
          <w:sz w:val="24"/>
          <w:szCs w:val="24"/>
        </w:rPr>
        <w:t>收到的</w:t>
      </w:r>
      <w:r w:rsidR="0063314A" w:rsidRPr="008E1D6B">
        <w:rPr>
          <w:rFonts w:ascii="Arial" w:eastAsiaTheme="minorEastAsia" w:hAnsi="Arial" w:cs="Arial" w:hint="eastAsia"/>
          <w:sz w:val="24"/>
          <w:szCs w:val="24"/>
        </w:rPr>
        <w:t>违约罚款收入增加所致。</w:t>
      </w:r>
    </w:p>
    <w:p w:rsidR="00B94FFE" w:rsidRPr="008E1D6B" w:rsidRDefault="00120DE9" w:rsidP="008E1D6B">
      <w:pPr>
        <w:tabs>
          <w:tab w:val="left" w:pos="567"/>
        </w:tabs>
        <w:spacing w:line="324" w:lineRule="auto"/>
        <w:ind w:firstLine="561"/>
        <w:jc w:val="left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5</w:t>
      </w:r>
      <w:r w:rsidR="00B94FFE" w:rsidRPr="008E1D6B">
        <w:rPr>
          <w:rFonts w:ascii="Arial" w:eastAsiaTheme="minorEastAsia" w:hAnsi="Arial" w:cs="Arial" w:hint="eastAsia"/>
          <w:sz w:val="24"/>
          <w:szCs w:val="24"/>
        </w:rPr>
        <w:t>、营业利润较上年同期</w:t>
      </w:r>
      <w:r w:rsidR="00B62F70" w:rsidRPr="008E1D6B">
        <w:rPr>
          <w:rFonts w:ascii="Arial" w:eastAsiaTheme="minorEastAsia" w:hAnsi="Arial" w:cs="Arial" w:hint="eastAsia"/>
          <w:sz w:val="24"/>
          <w:szCs w:val="24"/>
        </w:rPr>
        <w:t>减少</w:t>
      </w:r>
      <w:r w:rsidR="00B62F70" w:rsidRPr="008E1D6B">
        <w:rPr>
          <w:rFonts w:ascii="Arial" w:eastAsiaTheme="minorEastAsia" w:hAnsi="Arial" w:cs="Arial" w:hint="eastAsia"/>
          <w:sz w:val="24"/>
          <w:szCs w:val="24"/>
        </w:rPr>
        <w:t>1</w:t>
      </w:r>
      <w:r w:rsidR="00B62F70" w:rsidRPr="008E1D6B">
        <w:rPr>
          <w:rFonts w:ascii="Arial" w:eastAsiaTheme="minorEastAsia" w:hAnsi="Arial" w:cs="Arial"/>
          <w:sz w:val="24"/>
          <w:szCs w:val="24"/>
        </w:rPr>
        <w:t>9.54</w:t>
      </w:r>
      <w:r w:rsidR="00B94FFE" w:rsidRPr="008E1D6B">
        <w:rPr>
          <w:rFonts w:ascii="Arial" w:eastAsiaTheme="minorEastAsia" w:hAnsi="Arial" w:cs="Arial"/>
          <w:sz w:val="24"/>
          <w:szCs w:val="24"/>
        </w:rPr>
        <w:t>%</w:t>
      </w:r>
      <w:r w:rsidR="00B94FFE" w:rsidRPr="008E1D6B">
        <w:rPr>
          <w:rFonts w:ascii="Arial" w:eastAsiaTheme="minorEastAsia" w:hAnsi="Arial" w:cs="Arial" w:hint="eastAsia"/>
          <w:sz w:val="24"/>
          <w:szCs w:val="24"/>
        </w:rPr>
        <w:t>（</w:t>
      </w:r>
      <w:r w:rsidR="00B62F70" w:rsidRPr="008E1D6B">
        <w:rPr>
          <w:rFonts w:ascii="Arial" w:eastAsiaTheme="minorEastAsia" w:hAnsi="Arial" w:cs="Arial" w:hint="eastAsia"/>
          <w:sz w:val="24"/>
          <w:szCs w:val="24"/>
        </w:rPr>
        <w:t>减少</w:t>
      </w:r>
      <w:r w:rsidR="00B94FFE" w:rsidRPr="008E1D6B">
        <w:rPr>
          <w:rFonts w:ascii="Arial" w:eastAsiaTheme="minorEastAsia" w:hAnsi="Arial" w:cs="Arial" w:hint="eastAsia"/>
          <w:sz w:val="24"/>
          <w:szCs w:val="24"/>
        </w:rPr>
        <w:t>额为</w:t>
      </w:r>
      <w:r w:rsidR="00B62F70" w:rsidRPr="008E1D6B">
        <w:rPr>
          <w:rFonts w:ascii="Arial" w:eastAsiaTheme="minorEastAsia" w:hAnsi="Arial" w:cs="Arial"/>
          <w:sz w:val="24"/>
          <w:szCs w:val="24"/>
        </w:rPr>
        <w:t>13,866</w:t>
      </w:r>
      <w:r w:rsidR="00B94FFE" w:rsidRPr="008E1D6B">
        <w:rPr>
          <w:rFonts w:ascii="Arial" w:eastAsiaTheme="minorEastAsia" w:hAnsi="Arial" w:cs="Arial"/>
          <w:sz w:val="24"/>
          <w:szCs w:val="24"/>
        </w:rPr>
        <w:t>,</w:t>
      </w:r>
      <w:r w:rsidR="00B62F70" w:rsidRPr="008E1D6B">
        <w:rPr>
          <w:rFonts w:ascii="Arial" w:eastAsiaTheme="minorEastAsia" w:hAnsi="Arial" w:cs="Arial"/>
          <w:sz w:val="24"/>
          <w:szCs w:val="24"/>
        </w:rPr>
        <w:t>876</w:t>
      </w:r>
      <w:r w:rsidR="00B94FFE" w:rsidRPr="008E1D6B">
        <w:rPr>
          <w:rFonts w:ascii="Arial" w:eastAsiaTheme="minorEastAsia" w:hAnsi="Arial" w:cs="Arial"/>
          <w:sz w:val="24"/>
          <w:szCs w:val="24"/>
        </w:rPr>
        <w:t>.</w:t>
      </w:r>
      <w:r w:rsidR="00B62F70" w:rsidRPr="008E1D6B">
        <w:rPr>
          <w:rFonts w:ascii="Arial" w:eastAsiaTheme="minorEastAsia" w:hAnsi="Arial" w:cs="Arial"/>
          <w:sz w:val="24"/>
          <w:szCs w:val="24"/>
        </w:rPr>
        <w:t>12</w:t>
      </w:r>
      <w:r w:rsidR="00B94FFE" w:rsidRPr="008E1D6B">
        <w:rPr>
          <w:rFonts w:ascii="Arial" w:eastAsiaTheme="minorEastAsia" w:hAnsi="Arial" w:cs="Arial" w:hint="eastAsia"/>
          <w:sz w:val="24"/>
          <w:szCs w:val="24"/>
        </w:rPr>
        <w:t>元），主要影响因素如下表：</w:t>
      </w:r>
    </w:p>
    <w:p w:rsidR="00235A5C" w:rsidRPr="008E1D6B" w:rsidRDefault="001B5B60" w:rsidP="001B5B60">
      <w:pPr>
        <w:tabs>
          <w:tab w:val="left" w:pos="567"/>
        </w:tabs>
        <w:ind w:left="142" w:firstLine="480"/>
        <w:jc w:val="right"/>
        <w:rPr>
          <w:rFonts w:asciiTheme="minorEastAsia" w:eastAsiaTheme="minorEastAsia" w:hAnsiTheme="minorEastAsia" w:cs="Arial"/>
          <w:szCs w:val="21"/>
        </w:rPr>
      </w:pPr>
      <w:r w:rsidRPr="008E1D6B">
        <w:rPr>
          <w:rFonts w:asciiTheme="minorEastAsia" w:eastAsiaTheme="minorEastAsia" w:hAnsiTheme="minorEastAsia" w:cs="Arial" w:hint="eastAsia"/>
          <w:szCs w:val="21"/>
        </w:rPr>
        <w:t>单位：元</w:t>
      </w:r>
    </w:p>
    <w:tbl>
      <w:tblPr>
        <w:tblW w:w="90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45"/>
        <w:gridCol w:w="5624"/>
      </w:tblGrid>
      <w:tr w:rsidR="00235A5C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235A5C" w:rsidRPr="008E1D6B" w:rsidRDefault="00235A5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8E1D6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影响因素</w:t>
            </w:r>
          </w:p>
        </w:tc>
        <w:tc>
          <w:tcPr>
            <w:tcW w:w="5624" w:type="dxa"/>
            <w:shd w:val="clear" w:color="auto" w:fill="D9D9D9"/>
            <w:vAlign w:val="center"/>
            <w:hideMark/>
          </w:tcPr>
          <w:p w:rsidR="00235A5C" w:rsidRPr="008E1D6B" w:rsidRDefault="00235A5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8E1D6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各因素对营业利润变化的影响额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营业总收入增加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widowControl/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-57,768,393.29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毛利增加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-5,049,130.10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税金及附加减少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2,477,636.50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销售费用减少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5,448,969.65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lastRenderedPageBreak/>
              <w:t>管理费用增加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-5,008,655.53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研发费用减少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11,824,556.27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财务费用减少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8,292,685.84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信用减值损失增加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-8,516,744.15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资产减值损失增加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-3,976,405.66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资产处置收益减少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投资收益增加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-141,065.12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公允价值变动收益增加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349,215.48</w:t>
            </w:r>
          </w:p>
        </w:tc>
      </w:tr>
      <w:tr w:rsidR="00385397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385397" w:rsidRPr="008E1D6B" w:rsidRDefault="00385397" w:rsidP="008E1D6B">
            <w:pPr>
              <w:jc w:val="left"/>
            </w:pPr>
            <w:r w:rsidRPr="008E1D6B">
              <w:rPr>
                <w:rFonts w:hint="eastAsia"/>
              </w:rPr>
              <w:t>其他收益增加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97" w:rsidRPr="008E1D6B" w:rsidRDefault="00385397" w:rsidP="00385397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38,200,453.99</w:t>
            </w:r>
          </w:p>
        </w:tc>
      </w:tr>
      <w:tr w:rsidR="00B62F70" w:rsidRPr="008E1D6B" w:rsidTr="008E1D6B">
        <w:trPr>
          <w:trHeight w:val="369"/>
          <w:jc w:val="center"/>
        </w:trPr>
        <w:tc>
          <w:tcPr>
            <w:tcW w:w="3445" w:type="dxa"/>
            <w:shd w:val="clear" w:color="auto" w:fill="D9D9D9"/>
            <w:vAlign w:val="center"/>
            <w:hideMark/>
          </w:tcPr>
          <w:p w:rsidR="00B62F70" w:rsidRPr="008E1D6B" w:rsidRDefault="00B62F70" w:rsidP="008E1D6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8E1D6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合计</w:t>
            </w:r>
          </w:p>
        </w:tc>
        <w:tc>
          <w:tcPr>
            <w:tcW w:w="5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F70" w:rsidRPr="008E1D6B" w:rsidRDefault="00B62F70" w:rsidP="00B62F70">
            <w:pPr>
              <w:ind w:firstLineChars="200" w:firstLine="440"/>
              <w:jc w:val="right"/>
              <w:rPr>
                <w:color w:val="000000"/>
                <w:sz w:val="22"/>
                <w:szCs w:val="22"/>
              </w:rPr>
            </w:pPr>
            <w:r w:rsidRPr="008E1D6B">
              <w:rPr>
                <w:color w:val="000000"/>
                <w:sz w:val="22"/>
                <w:szCs w:val="22"/>
              </w:rPr>
              <w:t>-13,866,876.12</w:t>
            </w:r>
          </w:p>
        </w:tc>
      </w:tr>
    </w:tbl>
    <w:p w:rsidR="001B5B60" w:rsidRPr="008E1D6B" w:rsidRDefault="001B5B60" w:rsidP="008E1D6B">
      <w:pPr>
        <w:pStyle w:val="a7"/>
        <w:spacing w:beforeLines="50" w:before="156" w:line="360" w:lineRule="auto"/>
        <w:ind w:firstLine="482"/>
        <w:outlineLvl w:val="0"/>
        <w:rPr>
          <w:rFonts w:ascii="Arial" w:hAnsi="宋体" w:cs="Arial"/>
          <w:b/>
          <w:sz w:val="24"/>
          <w:szCs w:val="24"/>
        </w:rPr>
      </w:pPr>
      <w:r w:rsidRPr="008E1D6B">
        <w:rPr>
          <w:rFonts w:ascii="Arial" w:hAnsi="宋体" w:cs="Arial"/>
          <w:b/>
          <w:sz w:val="24"/>
          <w:szCs w:val="24"/>
        </w:rPr>
        <w:t>五、现金流量变化情况</w:t>
      </w:r>
    </w:p>
    <w:p w:rsidR="001631A8" w:rsidRPr="008E1D6B" w:rsidRDefault="001B5B60" w:rsidP="00B10377">
      <w:pPr>
        <w:pStyle w:val="Style7"/>
        <w:spacing w:line="240" w:lineRule="auto"/>
        <w:ind w:firstLineChars="0"/>
        <w:jc w:val="right"/>
        <w:rPr>
          <w:rFonts w:asciiTheme="minorEastAsia" w:eastAsiaTheme="minorEastAsia" w:hAnsiTheme="minorEastAsia" w:cs="Arial"/>
          <w:sz w:val="21"/>
          <w:szCs w:val="21"/>
        </w:rPr>
      </w:pPr>
      <w:r w:rsidRPr="008E1D6B">
        <w:rPr>
          <w:rFonts w:asciiTheme="minorEastAsia" w:eastAsiaTheme="minorEastAsia" w:hAnsiTheme="minorEastAsia" w:cs="Arial" w:hint="eastAsia"/>
          <w:sz w:val="21"/>
          <w:szCs w:val="21"/>
        </w:rPr>
        <w:t>单位：元</w:t>
      </w:r>
    </w:p>
    <w:tbl>
      <w:tblPr>
        <w:tblW w:w="90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407"/>
        <w:gridCol w:w="2410"/>
        <w:gridCol w:w="2185"/>
        <w:gridCol w:w="2067"/>
      </w:tblGrid>
      <w:tr w:rsidR="001631A8" w:rsidRPr="008E1D6B" w:rsidTr="008E1D6B">
        <w:trPr>
          <w:trHeight w:val="369"/>
          <w:jc w:val="center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1631A8" w:rsidRPr="008E1D6B" w:rsidRDefault="001631A8" w:rsidP="00235A5C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kern w:val="0"/>
                <w:szCs w:val="21"/>
              </w:rPr>
              <w:t>项目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631A8" w:rsidRPr="008E1D6B" w:rsidRDefault="001631A8" w:rsidP="00A745BE">
            <w:pPr>
              <w:widowControl/>
              <w:jc w:val="center"/>
              <w:rPr>
                <w:rFonts w:eastAsiaTheme="minorEastAsia"/>
                <w:b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kern w:val="0"/>
                <w:szCs w:val="21"/>
              </w:rPr>
              <w:t>202</w:t>
            </w:r>
            <w:r w:rsidR="00A745BE" w:rsidRPr="008E1D6B">
              <w:rPr>
                <w:rFonts w:eastAsiaTheme="minorEastAsia"/>
                <w:b/>
                <w:kern w:val="0"/>
                <w:szCs w:val="21"/>
              </w:rPr>
              <w:t>5</w:t>
            </w:r>
            <w:r w:rsidRPr="008E1D6B">
              <w:rPr>
                <w:rFonts w:eastAsiaTheme="minorEastAsia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:rsidR="001631A8" w:rsidRPr="008E1D6B" w:rsidRDefault="001631A8" w:rsidP="00A745BE">
            <w:pPr>
              <w:jc w:val="center"/>
              <w:rPr>
                <w:rFonts w:eastAsiaTheme="minorEastAsia"/>
                <w:b/>
                <w:kern w:val="0"/>
                <w:szCs w:val="21"/>
              </w:rPr>
            </w:pPr>
            <w:r w:rsidRPr="008E1D6B">
              <w:rPr>
                <w:rFonts w:eastAsiaTheme="minorEastAsia"/>
                <w:b/>
                <w:kern w:val="0"/>
                <w:szCs w:val="21"/>
              </w:rPr>
              <w:t>202</w:t>
            </w:r>
            <w:r w:rsidR="00A745BE" w:rsidRPr="008E1D6B">
              <w:rPr>
                <w:rFonts w:eastAsiaTheme="minorEastAsia"/>
                <w:b/>
                <w:kern w:val="0"/>
                <w:szCs w:val="21"/>
              </w:rPr>
              <w:t>4</w:t>
            </w:r>
            <w:r w:rsidRPr="008E1D6B">
              <w:rPr>
                <w:rFonts w:eastAsiaTheme="minorEastAsia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:rsidR="001631A8" w:rsidRPr="008E1D6B" w:rsidRDefault="001631A8" w:rsidP="00235A5C">
            <w:pPr>
              <w:jc w:val="center"/>
              <w:rPr>
                <w:rFonts w:eastAsiaTheme="minorEastAsia"/>
                <w:b/>
                <w:kern w:val="0"/>
                <w:szCs w:val="21"/>
              </w:rPr>
            </w:pPr>
            <w:r w:rsidRPr="008E1D6B">
              <w:rPr>
                <w:rFonts w:eastAsiaTheme="minorEastAsia" w:hint="eastAsia"/>
                <w:b/>
                <w:kern w:val="0"/>
                <w:szCs w:val="21"/>
              </w:rPr>
              <w:t>增减变动幅度</w:t>
            </w:r>
          </w:p>
        </w:tc>
      </w:tr>
      <w:tr w:rsidR="00A745BE" w:rsidRPr="008E1D6B" w:rsidTr="00064680">
        <w:trPr>
          <w:trHeight w:val="369"/>
          <w:jc w:val="center"/>
        </w:trPr>
        <w:tc>
          <w:tcPr>
            <w:tcW w:w="2407" w:type="dxa"/>
            <w:shd w:val="clear" w:color="auto" w:fill="D9D9D9"/>
            <w:vAlign w:val="center"/>
          </w:tcPr>
          <w:p w:rsidR="00A745BE" w:rsidRPr="008E1D6B" w:rsidRDefault="00A745BE" w:rsidP="00A745BE">
            <w:pPr>
              <w:widowControl/>
              <w:adjustRightInd w:val="0"/>
              <w:snapToGrid w:val="0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经营活动现金流入小计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widowControl/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879,451,563.58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45BE" w:rsidRPr="008E1D6B" w:rsidRDefault="00A745BE" w:rsidP="00A745BE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851,048,385.52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widowControl/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3.34%</w:t>
            </w:r>
          </w:p>
        </w:tc>
      </w:tr>
      <w:tr w:rsidR="00A745BE" w:rsidRPr="008E1D6B" w:rsidTr="00064680">
        <w:trPr>
          <w:trHeight w:val="369"/>
          <w:jc w:val="center"/>
        </w:trPr>
        <w:tc>
          <w:tcPr>
            <w:tcW w:w="2407" w:type="dxa"/>
            <w:shd w:val="clear" w:color="auto" w:fill="D9D9D9"/>
            <w:vAlign w:val="center"/>
          </w:tcPr>
          <w:p w:rsidR="00A745BE" w:rsidRPr="008E1D6B" w:rsidRDefault="00A745BE" w:rsidP="00A745BE">
            <w:pPr>
              <w:widowControl/>
              <w:adjustRightInd w:val="0"/>
              <w:snapToGrid w:val="0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经营活动现金流出小计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1,012,692,244.67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45BE" w:rsidRPr="008E1D6B" w:rsidRDefault="00A745BE" w:rsidP="00A745BE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548,183,152.45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84.74%</w:t>
            </w:r>
          </w:p>
        </w:tc>
      </w:tr>
      <w:tr w:rsidR="00A745BE" w:rsidRPr="008E1D6B" w:rsidTr="00064680">
        <w:trPr>
          <w:trHeight w:val="369"/>
          <w:jc w:val="center"/>
        </w:trPr>
        <w:tc>
          <w:tcPr>
            <w:tcW w:w="2407" w:type="dxa"/>
            <w:shd w:val="clear" w:color="auto" w:fill="D9D9D9"/>
            <w:vAlign w:val="center"/>
          </w:tcPr>
          <w:p w:rsidR="00A745BE" w:rsidRPr="008E1D6B" w:rsidRDefault="00A745BE" w:rsidP="00A745BE">
            <w:pPr>
              <w:widowControl/>
              <w:adjustRightInd w:val="0"/>
              <w:snapToGrid w:val="0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经营活动产生的现金流量净额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-133,240,681.09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45BE" w:rsidRPr="008E1D6B" w:rsidRDefault="00A745BE" w:rsidP="00A745BE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302,865,233.07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-143.99%</w:t>
            </w:r>
          </w:p>
        </w:tc>
      </w:tr>
      <w:tr w:rsidR="00A745BE" w:rsidRPr="008E1D6B" w:rsidTr="00064680">
        <w:trPr>
          <w:trHeight w:val="369"/>
          <w:jc w:val="center"/>
        </w:trPr>
        <w:tc>
          <w:tcPr>
            <w:tcW w:w="2407" w:type="dxa"/>
            <w:shd w:val="clear" w:color="auto" w:fill="D9D9D9"/>
            <w:vAlign w:val="center"/>
          </w:tcPr>
          <w:p w:rsidR="00A745BE" w:rsidRPr="008E1D6B" w:rsidRDefault="00A745BE" w:rsidP="00A745BE">
            <w:pPr>
              <w:widowControl/>
              <w:adjustRightInd w:val="0"/>
              <w:snapToGrid w:val="0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投资活动现金流入小计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172,858.00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45BE" w:rsidRPr="008E1D6B" w:rsidRDefault="00A745BE" w:rsidP="00A745BE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25,000.00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591.43%</w:t>
            </w:r>
          </w:p>
        </w:tc>
      </w:tr>
      <w:tr w:rsidR="00A745BE" w:rsidRPr="008E1D6B" w:rsidTr="00064680">
        <w:trPr>
          <w:trHeight w:val="369"/>
          <w:jc w:val="center"/>
        </w:trPr>
        <w:tc>
          <w:tcPr>
            <w:tcW w:w="2407" w:type="dxa"/>
            <w:shd w:val="clear" w:color="auto" w:fill="D9D9D9"/>
            <w:vAlign w:val="center"/>
          </w:tcPr>
          <w:p w:rsidR="00A745BE" w:rsidRPr="008E1D6B" w:rsidRDefault="00A745BE" w:rsidP="00A745BE">
            <w:pPr>
              <w:widowControl/>
              <w:adjustRightInd w:val="0"/>
              <w:snapToGrid w:val="0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投资活动现金流出小计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23,181,849.91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45BE" w:rsidRPr="008E1D6B" w:rsidRDefault="00A745BE" w:rsidP="00A745BE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5,800,183.90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299.67%</w:t>
            </w:r>
          </w:p>
        </w:tc>
      </w:tr>
      <w:tr w:rsidR="00A745BE" w:rsidRPr="008E1D6B" w:rsidTr="00064680">
        <w:trPr>
          <w:trHeight w:val="369"/>
          <w:jc w:val="center"/>
        </w:trPr>
        <w:tc>
          <w:tcPr>
            <w:tcW w:w="2407" w:type="dxa"/>
            <w:shd w:val="clear" w:color="auto" w:fill="D9D9D9"/>
            <w:vAlign w:val="center"/>
          </w:tcPr>
          <w:p w:rsidR="00A745BE" w:rsidRPr="008E1D6B" w:rsidRDefault="00A745BE" w:rsidP="00A745BE">
            <w:pPr>
              <w:widowControl/>
              <w:adjustRightInd w:val="0"/>
              <w:snapToGrid w:val="0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投资活动产生的现金流量净额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-23,008,991.91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45BE" w:rsidRPr="008E1D6B" w:rsidRDefault="00A745BE" w:rsidP="00A745BE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-5,775,183.90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298.41%</w:t>
            </w:r>
          </w:p>
        </w:tc>
      </w:tr>
      <w:tr w:rsidR="00A745BE" w:rsidRPr="008E1D6B" w:rsidTr="00064680">
        <w:trPr>
          <w:trHeight w:val="369"/>
          <w:jc w:val="center"/>
        </w:trPr>
        <w:tc>
          <w:tcPr>
            <w:tcW w:w="2407" w:type="dxa"/>
            <w:shd w:val="clear" w:color="auto" w:fill="D9D9D9"/>
            <w:vAlign w:val="center"/>
          </w:tcPr>
          <w:p w:rsidR="00A745BE" w:rsidRPr="008E1D6B" w:rsidRDefault="00A745BE" w:rsidP="00A745BE">
            <w:pPr>
              <w:widowControl/>
              <w:adjustRightInd w:val="0"/>
              <w:snapToGrid w:val="0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筹资活动现金流入小计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21,283,866.54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45BE" w:rsidRPr="008E1D6B" w:rsidRDefault="00A745BE" w:rsidP="00A745BE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203,051,751.83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-89.52%</w:t>
            </w:r>
          </w:p>
        </w:tc>
      </w:tr>
      <w:tr w:rsidR="00A745BE" w:rsidRPr="008E1D6B" w:rsidTr="00064680">
        <w:trPr>
          <w:trHeight w:val="369"/>
          <w:jc w:val="center"/>
        </w:trPr>
        <w:tc>
          <w:tcPr>
            <w:tcW w:w="2407" w:type="dxa"/>
            <w:shd w:val="clear" w:color="auto" w:fill="D9D9D9"/>
            <w:vAlign w:val="center"/>
          </w:tcPr>
          <w:p w:rsidR="00A745BE" w:rsidRPr="008E1D6B" w:rsidRDefault="00A745BE" w:rsidP="00A745BE">
            <w:pPr>
              <w:widowControl/>
              <w:adjustRightInd w:val="0"/>
              <w:snapToGrid w:val="0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筹资活动现金流出小计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60,182,339.98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45BE" w:rsidRPr="008E1D6B" w:rsidRDefault="00A745BE" w:rsidP="00A745BE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421,223,146.15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-85.71%</w:t>
            </w:r>
          </w:p>
        </w:tc>
      </w:tr>
      <w:tr w:rsidR="00A745BE" w:rsidRPr="008E1D6B" w:rsidTr="00064680">
        <w:trPr>
          <w:trHeight w:val="369"/>
          <w:jc w:val="center"/>
        </w:trPr>
        <w:tc>
          <w:tcPr>
            <w:tcW w:w="2407" w:type="dxa"/>
            <w:shd w:val="clear" w:color="auto" w:fill="D9D9D9"/>
            <w:vAlign w:val="center"/>
          </w:tcPr>
          <w:p w:rsidR="00A745BE" w:rsidRPr="008E1D6B" w:rsidRDefault="00A745BE" w:rsidP="00A745BE">
            <w:pPr>
              <w:widowControl/>
              <w:adjustRightInd w:val="0"/>
              <w:snapToGrid w:val="0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筹资活动产生的现金流量净额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-38,898,473.44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45BE" w:rsidRPr="008E1D6B" w:rsidRDefault="00A745BE" w:rsidP="00A745BE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-218,171,394.32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-82.17%</w:t>
            </w:r>
          </w:p>
        </w:tc>
      </w:tr>
      <w:tr w:rsidR="00A745BE" w:rsidRPr="008E1D6B" w:rsidTr="00064680">
        <w:trPr>
          <w:trHeight w:val="369"/>
          <w:jc w:val="center"/>
        </w:trPr>
        <w:tc>
          <w:tcPr>
            <w:tcW w:w="2407" w:type="dxa"/>
            <w:shd w:val="clear" w:color="auto" w:fill="D9D9D9"/>
            <w:vAlign w:val="center"/>
          </w:tcPr>
          <w:p w:rsidR="00A745BE" w:rsidRPr="008E1D6B" w:rsidRDefault="00A745BE" w:rsidP="00A745BE">
            <w:pPr>
              <w:widowControl/>
              <w:adjustRightInd w:val="0"/>
              <w:snapToGrid w:val="0"/>
              <w:rPr>
                <w:rFonts w:eastAsiaTheme="minorEastAsia"/>
                <w:kern w:val="0"/>
                <w:szCs w:val="21"/>
              </w:rPr>
            </w:pPr>
            <w:r w:rsidRPr="008E1D6B">
              <w:rPr>
                <w:rFonts w:eastAsiaTheme="minorEastAsia"/>
                <w:kern w:val="0"/>
                <w:szCs w:val="21"/>
              </w:rPr>
              <w:t>现金及现金等价物净增加额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-189,307,023.51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45BE" w:rsidRPr="008E1D6B" w:rsidRDefault="00A745BE" w:rsidP="00A745BE">
            <w:pPr>
              <w:ind w:firstLine="420"/>
              <w:jc w:val="right"/>
              <w:rPr>
                <w:rFonts w:eastAsiaTheme="minorEastAsia"/>
                <w:color w:val="000000"/>
                <w:szCs w:val="21"/>
              </w:rPr>
            </w:pPr>
            <w:r w:rsidRPr="008E1D6B">
              <w:rPr>
                <w:rFonts w:eastAsiaTheme="minorEastAsia"/>
                <w:color w:val="000000"/>
                <w:szCs w:val="21"/>
              </w:rPr>
              <w:t>77,499,139.08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5BE" w:rsidRPr="008E1D6B" w:rsidRDefault="00A745BE" w:rsidP="00A745BE">
            <w:pPr>
              <w:ind w:firstLineChars="200" w:firstLine="420"/>
              <w:jc w:val="right"/>
              <w:rPr>
                <w:color w:val="000000"/>
              </w:rPr>
            </w:pPr>
            <w:r w:rsidRPr="008E1D6B">
              <w:rPr>
                <w:color w:val="000000"/>
              </w:rPr>
              <w:t>-344.27%</w:t>
            </w:r>
          </w:p>
        </w:tc>
      </w:tr>
    </w:tbl>
    <w:p w:rsidR="001B5B60" w:rsidRPr="008E1D6B" w:rsidRDefault="001B5B60" w:rsidP="00546543">
      <w:pPr>
        <w:spacing w:beforeLines="50" w:before="156" w:line="360" w:lineRule="auto"/>
        <w:ind w:firstLine="561"/>
        <w:rPr>
          <w:rFonts w:eastAsiaTheme="minorEastAsia"/>
          <w:b/>
          <w:sz w:val="24"/>
          <w:szCs w:val="24"/>
        </w:rPr>
      </w:pPr>
      <w:r w:rsidRPr="008E1D6B">
        <w:rPr>
          <w:rFonts w:eastAsiaTheme="minorEastAsia"/>
          <w:b/>
          <w:sz w:val="24"/>
          <w:szCs w:val="24"/>
        </w:rPr>
        <w:t>主要项目变动分析：</w:t>
      </w:r>
    </w:p>
    <w:bookmarkEnd w:id="0"/>
    <w:p w:rsidR="006B6C07" w:rsidRPr="008E1D6B" w:rsidRDefault="006B6C07" w:rsidP="006B6C07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 w:hint="eastAsia"/>
          <w:sz w:val="24"/>
          <w:szCs w:val="24"/>
        </w:rPr>
        <w:t>1</w:t>
      </w:r>
      <w:r w:rsidRPr="008E1D6B">
        <w:rPr>
          <w:rFonts w:ascii="Arial" w:eastAsiaTheme="minorEastAsia" w:hAnsi="Arial" w:cs="Arial" w:hint="eastAsia"/>
          <w:sz w:val="24"/>
          <w:szCs w:val="24"/>
        </w:rPr>
        <w:t>、经营活动产生的现金流量净额较上年</w:t>
      </w:r>
      <w:r w:rsidR="00A745BE" w:rsidRPr="008E1D6B">
        <w:rPr>
          <w:rFonts w:ascii="Arial" w:eastAsiaTheme="minorEastAsia" w:hAnsi="Arial" w:cs="Arial" w:hint="eastAsia"/>
          <w:sz w:val="24"/>
          <w:szCs w:val="24"/>
        </w:rPr>
        <w:t>减少</w:t>
      </w:r>
      <w:r w:rsidR="00A745BE" w:rsidRPr="008E1D6B">
        <w:rPr>
          <w:rFonts w:ascii="Arial" w:eastAsiaTheme="minorEastAsia" w:hAnsi="Arial" w:cs="Arial"/>
          <w:sz w:val="24"/>
          <w:szCs w:val="24"/>
        </w:rPr>
        <w:t>143.99</w:t>
      </w:r>
      <w:r w:rsidRPr="008E1D6B">
        <w:rPr>
          <w:rFonts w:ascii="Arial" w:eastAsiaTheme="minorEastAsia" w:hAnsi="Arial" w:cs="Arial" w:hint="eastAsia"/>
          <w:sz w:val="24"/>
          <w:szCs w:val="24"/>
        </w:rPr>
        <w:t>%</w:t>
      </w:r>
      <w:r w:rsidRPr="008E1D6B">
        <w:rPr>
          <w:rFonts w:ascii="Arial" w:eastAsiaTheme="minorEastAsia" w:hAnsi="Arial" w:cs="Arial" w:hint="eastAsia"/>
          <w:sz w:val="24"/>
          <w:szCs w:val="24"/>
        </w:rPr>
        <w:t>，主要原因是</w:t>
      </w:r>
      <w:r w:rsidR="00A745BE" w:rsidRPr="008E1D6B">
        <w:rPr>
          <w:rFonts w:ascii="Arial" w:eastAsiaTheme="minorEastAsia" w:hAnsi="Arial" w:cs="Arial" w:hint="eastAsia"/>
          <w:sz w:val="24"/>
          <w:szCs w:val="24"/>
        </w:rPr>
        <w:t>本期购买商品、接受劳务支付的现金增加</w:t>
      </w:r>
      <w:r w:rsidRPr="008E1D6B">
        <w:rPr>
          <w:rFonts w:ascii="Arial" w:eastAsiaTheme="minorEastAsia" w:hAnsi="Arial" w:cs="Arial" w:hint="eastAsia"/>
          <w:sz w:val="24"/>
          <w:szCs w:val="24"/>
        </w:rPr>
        <w:t>所致。</w:t>
      </w:r>
    </w:p>
    <w:p w:rsidR="00A745BE" w:rsidRPr="008E1D6B" w:rsidRDefault="00A745BE" w:rsidP="00A745BE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 w:hint="eastAsia"/>
          <w:sz w:val="24"/>
          <w:szCs w:val="24"/>
        </w:rPr>
        <w:t>2</w:t>
      </w:r>
      <w:r w:rsidRPr="008E1D6B">
        <w:rPr>
          <w:rFonts w:ascii="Arial" w:eastAsiaTheme="minorEastAsia" w:hAnsi="Arial" w:cs="Arial" w:hint="eastAsia"/>
          <w:sz w:val="24"/>
          <w:szCs w:val="24"/>
        </w:rPr>
        <w:t>、投资活动产生的现金流量净额较上年增加</w:t>
      </w:r>
      <w:r w:rsidRPr="008E1D6B">
        <w:rPr>
          <w:rFonts w:ascii="Arial" w:eastAsiaTheme="minorEastAsia" w:hAnsi="Arial" w:cs="Arial" w:hint="eastAsia"/>
          <w:sz w:val="24"/>
          <w:szCs w:val="24"/>
        </w:rPr>
        <w:t>298.41%</w:t>
      </w:r>
      <w:r w:rsidRPr="008E1D6B">
        <w:rPr>
          <w:rFonts w:ascii="Arial" w:eastAsiaTheme="minorEastAsia" w:hAnsi="Arial" w:cs="Arial" w:hint="eastAsia"/>
          <w:sz w:val="24"/>
          <w:szCs w:val="24"/>
        </w:rPr>
        <w:t>，主要原因是本期固定资产投入增加所致。</w:t>
      </w:r>
    </w:p>
    <w:p w:rsidR="00546543" w:rsidRPr="008E1D6B" w:rsidRDefault="00A745BE" w:rsidP="00A745BE">
      <w:pPr>
        <w:spacing w:line="360" w:lineRule="auto"/>
        <w:ind w:firstLine="562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 w:hint="eastAsia"/>
          <w:sz w:val="24"/>
          <w:szCs w:val="24"/>
        </w:rPr>
        <w:t>3</w:t>
      </w:r>
      <w:r w:rsidRPr="008E1D6B">
        <w:rPr>
          <w:rFonts w:ascii="Arial" w:eastAsiaTheme="minorEastAsia" w:hAnsi="Arial" w:cs="Arial" w:hint="eastAsia"/>
          <w:sz w:val="24"/>
          <w:szCs w:val="24"/>
        </w:rPr>
        <w:t>、筹资活动产生的现金流量净额较上年减少</w:t>
      </w:r>
      <w:r w:rsidRPr="008E1D6B">
        <w:rPr>
          <w:rFonts w:ascii="Arial" w:eastAsiaTheme="minorEastAsia" w:hAnsi="Arial" w:cs="Arial" w:hint="eastAsia"/>
          <w:sz w:val="24"/>
          <w:szCs w:val="24"/>
        </w:rPr>
        <w:t>82.17%</w:t>
      </w:r>
      <w:r w:rsidRPr="008E1D6B">
        <w:rPr>
          <w:rFonts w:ascii="Arial" w:eastAsiaTheme="minorEastAsia" w:hAnsi="Arial" w:cs="Arial" w:hint="eastAsia"/>
          <w:sz w:val="24"/>
          <w:szCs w:val="24"/>
        </w:rPr>
        <w:t>，主要原因是本期偿还银行贷款所支付的现金减少所致。</w:t>
      </w:r>
    </w:p>
    <w:p w:rsidR="00426E8C" w:rsidRPr="008E1D6B" w:rsidRDefault="00426E8C" w:rsidP="00546543">
      <w:pPr>
        <w:autoSpaceDE w:val="0"/>
        <w:autoSpaceDN w:val="0"/>
        <w:spacing w:line="360" w:lineRule="auto"/>
        <w:ind w:firstLine="560"/>
        <w:jc w:val="right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 w:hint="eastAsia"/>
          <w:sz w:val="24"/>
          <w:szCs w:val="24"/>
        </w:rPr>
        <w:t>南京宝色股份</w:t>
      </w:r>
      <w:r w:rsidRPr="008E1D6B">
        <w:rPr>
          <w:rFonts w:ascii="Arial" w:eastAsiaTheme="minorEastAsia" w:hAnsi="Arial" w:cs="Arial"/>
          <w:sz w:val="24"/>
          <w:szCs w:val="24"/>
        </w:rPr>
        <w:t>公司</w:t>
      </w:r>
      <w:r w:rsidR="00547E69" w:rsidRPr="008E1D6B">
        <w:rPr>
          <w:rFonts w:ascii="Arial" w:eastAsiaTheme="minorEastAsia" w:hAnsi="Arial" w:cs="Arial" w:hint="eastAsia"/>
          <w:sz w:val="24"/>
          <w:szCs w:val="24"/>
        </w:rPr>
        <w:t>董事会</w:t>
      </w:r>
    </w:p>
    <w:p w:rsidR="00547E69" w:rsidRPr="00547E69" w:rsidRDefault="00E56C6E" w:rsidP="00547E69">
      <w:pPr>
        <w:autoSpaceDE w:val="0"/>
        <w:autoSpaceDN w:val="0"/>
        <w:spacing w:line="360" w:lineRule="auto"/>
        <w:ind w:firstLine="560"/>
        <w:jc w:val="right"/>
        <w:rPr>
          <w:rFonts w:ascii="Arial" w:eastAsiaTheme="minorEastAsia" w:hAnsi="Arial" w:cs="Arial"/>
          <w:sz w:val="24"/>
          <w:szCs w:val="24"/>
        </w:rPr>
      </w:pPr>
      <w:r w:rsidRPr="008E1D6B">
        <w:rPr>
          <w:rFonts w:ascii="Arial" w:eastAsiaTheme="minorEastAsia" w:hAnsi="Arial" w:cs="Arial"/>
          <w:sz w:val="24"/>
          <w:szCs w:val="24"/>
        </w:rPr>
        <w:t>2026</w:t>
      </w:r>
      <w:r w:rsidRPr="008E1D6B">
        <w:rPr>
          <w:rFonts w:ascii="Arial" w:eastAsiaTheme="minorEastAsia" w:hAnsi="Arial" w:cs="Arial" w:hint="eastAsia"/>
          <w:sz w:val="24"/>
          <w:szCs w:val="24"/>
        </w:rPr>
        <w:t>年</w:t>
      </w:r>
      <w:r w:rsidRPr="008E1D6B">
        <w:rPr>
          <w:rFonts w:ascii="Arial" w:eastAsiaTheme="minorEastAsia" w:hAnsi="Arial" w:cs="Arial" w:hint="eastAsia"/>
          <w:sz w:val="24"/>
          <w:szCs w:val="24"/>
        </w:rPr>
        <w:t>4</w:t>
      </w:r>
      <w:r w:rsidRPr="008E1D6B">
        <w:rPr>
          <w:rFonts w:ascii="Arial" w:eastAsiaTheme="minorEastAsia" w:hAnsi="Arial" w:cs="Arial" w:hint="eastAsia"/>
          <w:sz w:val="24"/>
          <w:szCs w:val="24"/>
        </w:rPr>
        <w:t>月</w:t>
      </w:r>
      <w:r w:rsidRPr="008E1D6B">
        <w:rPr>
          <w:rFonts w:ascii="Arial" w:eastAsiaTheme="minorEastAsia" w:hAnsi="Arial" w:cs="Arial"/>
          <w:sz w:val="24"/>
          <w:szCs w:val="24"/>
        </w:rPr>
        <w:t>1</w:t>
      </w:r>
      <w:r w:rsidR="00546543" w:rsidRPr="008E1D6B">
        <w:rPr>
          <w:rFonts w:ascii="Arial" w:eastAsiaTheme="minorEastAsia" w:hAnsi="Arial" w:cs="Arial" w:hint="eastAsia"/>
          <w:sz w:val="24"/>
          <w:szCs w:val="24"/>
        </w:rPr>
        <w:t>日</w:t>
      </w:r>
    </w:p>
    <w:sectPr w:rsidR="00547E69" w:rsidRPr="00547E69" w:rsidSect="008E1D6B">
      <w:headerReference w:type="default" r:id="rId7"/>
      <w:footerReference w:type="default" r:id="rId8"/>
      <w:pgSz w:w="11906" w:h="16838"/>
      <w:pgMar w:top="1440" w:right="1588" w:bottom="1440" w:left="1588" w:header="1021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6C" w:rsidRDefault="00BA786C" w:rsidP="001B5B60">
      <w:r>
        <w:separator/>
      </w:r>
    </w:p>
  </w:endnote>
  <w:endnote w:type="continuationSeparator" w:id="0">
    <w:p w:rsidR="00BA786C" w:rsidRDefault="00BA786C" w:rsidP="001B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4983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B62F70" w:rsidRPr="006128BD" w:rsidRDefault="00B62F70" w:rsidP="006128BD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6128BD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6128BD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6128BD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447F6F" w:rsidRPr="00447F6F">
          <w:rPr>
            <w:rFonts w:ascii="Times New Roman" w:hAnsi="Times New Roman" w:cs="Times New Roman"/>
            <w:noProof/>
            <w:sz w:val="21"/>
            <w:szCs w:val="21"/>
            <w:lang w:val="zh-CN"/>
          </w:rPr>
          <w:t>5</w:t>
        </w:r>
        <w:r w:rsidRPr="006128BD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6C" w:rsidRDefault="00BA786C" w:rsidP="001B5B60">
      <w:r>
        <w:separator/>
      </w:r>
    </w:p>
  </w:footnote>
  <w:footnote w:type="continuationSeparator" w:id="0">
    <w:p w:rsidR="00BA786C" w:rsidRDefault="00BA786C" w:rsidP="001B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70" w:rsidRDefault="00B62F70" w:rsidP="006128BD">
    <w:pPr>
      <w:pStyle w:val="a3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13"/>
    <w:rsid w:val="00032A6E"/>
    <w:rsid w:val="00045115"/>
    <w:rsid w:val="00055292"/>
    <w:rsid w:val="00093298"/>
    <w:rsid w:val="000A6067"/>
    <w:rsid w:val="000D1A6D"/>
    <w:rsid w:val="00120DE9"/>
    <w:rsid w:val="00132599"/>
    <w:rsid w:val="001404EE"/>
    <w:rsid w:val="00162D92"/>
    <w:rsid w:val="001631A8"/>
    <w:rsid w:val="00181A1A"/>
    <w:rsid w:val="00184991"/>
    <w:rsid w:val="00185D89"/>
    <w:rsid w:val="001B5B60"/>
    <w:rsid w:val="001C1191"/>
    <w:rsid w:val="001F5FA4"/>
    <w:rsid w:val="00223B74"/>
    <w:rsid w:val="00227E1B"/>
    <w:rsid w:val="00235A5C"/>
    <w:rsid w:val="00242E72"/>
    <w:rsid w:val="00294A52"/>
    <w:rsid w:val="002B04E3"/>
    <w:rsid w:val="002B5A1F"/>
    <w:rsid w:val="002F41AA"/>
    <w:rsid w:val="0034095A"/>
    <w:rsid w:val="00351144"/>
    <w:rsid w:val="0035466C"/>
    <w:rsid w:val="00376CD3"/>
    <w:rsid w:val="00385397"/>
    <w:rsid w:val="00392D69"/>
    <w:rsid w:val="003D2954"/>
    <w:rsid w:val="003E3618"/>
    <w:rsid w:val="003E654C"/>
    <w:rsid w:val="004129BC"/>
    <w:rsid w:val="00415B19"/>
    <w:rsid w:val="0041764E"/>
    <w:rsid w:val="00426E8C"/>
    <w:rsid w:val="00447F6F"/>
    <w:rsid w:val="004550AA"/>
    <w:rsid w:val="004A41C0"/>
    <w:rsid w:val="004B3213"/>
    <w:rsid w:val="004B5F57"/>
    <w:rsid w:val="004F0E75"/>
    <w:rsid w:val="005302B9"/>
    <w:rsid w:val="00533B7A"/>
    <w:rsid w:val="00546543"/>
    <w:rsid w:val="00547E69"/>
    <w:rsid w:val="00550A61"/>
    <w:rsid w:val="00582EC3"/>
    <w:rsid w:val="006128BD"/>
    <w:rsid w:val="0063314A"/>
    <w:rsid w:val="00667D55"/>
    <w:rsid w:val="0068711C"/>
    <w:rsid w:val="006958AF"/>
    <w:rsid w:val="006B6C07"/>
    <w:rsid w:val="006C3F3C"/>
    <w:rsid w:val="00707AF7"/>
    <w:rsid w:val="00714AC7"/>
    <w:rsid w:val="0072421E"/>
    <w:rsid w:val="007275CE"/>
    <w:rsid w:val="00760FDB"/>
    <w:rsid w:val="00846DD5"/>
    <w:rsid w:val="008C4C3D"/>
    <w:rsid w:val="008D2019"/>
    <w:rsid w:val="008E1D6B"/>
    <w:rsid w:val="00976452"/>
    <w:rsid w:val="009910C6"/>
    <w:rsid w:val="009A7187"/>
    <w:rsid w:val="00A42E55"/>
    <w:rsid w:val="00A459A5"/>
    <w:rsid w:val="00A70A62"/>
    <w:rsid w:val="00A745BE"/>
    <w:rsid w:val="00A90C7E"/>
    <w:rsid w:val="00AA73ED"/>
    <w:rsid w:val="00AB5DC8"/>
    <w:rsid w:val="00B10377"/>
    <w:rsid w:val="00B501EE"/>
    <w:rsid w:val="00B61F8E"/>
    <w:rsid w:val="00B62F70"/>
    <w:rsid w:val="00B85CAD"/>
    <w:rsid w:val="00B92EFF"/>
    <w:rsid w:val="00B94FFE"/>
    <w:rsid w:val="00BA77C0"/>
    <w:rsid w:val="00BA786C"/>
    <w:rsid w:val="00C5272C"/>
    <w:rsid w:val="00C615AC"/>
    <w:rsid w:val="00CD2222"/>
    <w:rsid w:val="00D12635"/>
    <w:rsid w:val="00D21905"/>
    <w:rsid w:val="00D2413B"/>
    <w:rsid w:val="00D56B36"/>
    <w:rsid w:val="00DB27A4"/>
    <w:rsid w:val="00DE2CBD"/>
    <w:rsid w:val="00E04403"/>
    <w:rsid w:val="00E458BC"/>
    <w:rsid w:val="00E46B20"/>
    <w:rsid w:val="00E52F8D"/>
    <w:rsid w:val="00E56C6E"/>
    <w:rsid w:val="00EB2752"/>
    <w:rsid w:val="00ED0B65"/>
    <w:rsid w:val="00EE7873"/>
    <w:rsid w:val="00F02121"/>
    <w:rsid w:val="00F32358"/>
    <w:rsid w:val="00FA7EFB"/>
    <w:rsid w:val="00FD4956"/>
    <w:rsid w:val="00FF3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52EE8E-26E0-4206-901B-E4D9FC22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B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B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B5B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B60"/>
    <w:rPr>
      <w:sz w:val="18"/>
      <w:szCs w:val="18"/>
    </w:rPr>
  </w:style>
  <w:style w:type="paragraph" w:customStyle="1" w:styleId="Style7">
    <w:name w:val="_Style 7"/>
    <w:basedOn w:val="a"/>
    <w:next w:val="a7"/>
    <w:uiPriority w:val="34"/>
    <w:qFormat/>
    <w:rsid w:val="001B5B60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styleId="a7">
    <w:name w:val="List Paragraph"/>
    <w:basedOn w:val="a"/>
    <w:uiPriority w:val="34"/>
    <w:qFormat/>
    <w:rsid w:val="001B5B6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B5F5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5F57"/>
    <w:rPr>
      <w:rFonts w:ascii="Times New Roman" w:eastAsia="宋体" w:hAnsi="Times New Roman" w:cs="Times New Roman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4B5F57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4B5F57"/>
    <w:rPr>
      <w:rFonts w:ascii="宋体" w:eastAsia="宋体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68711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2A6D-86B6-4A6D-8672-8C19A5AC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刘冰姿</dc:creator>
  <cp:keywords/>
  <dc:description/>
  <cp:lastModifiedBy>sweet</cp:lastModifiedBy>
  <cp:revision>41</cp:revision>
  <cp:lastPrinted>2024-03-23T13:12:00Z</cp:lastPrinted>
  <dcterms:created xsi:type="dcterms:W3CDTF">2025-04-02T03:10:00Z</dcterms:created>
  <dcterms:modified xsi:type="dcterms:W3CDTF">2026-04-02T10:01:00Z</dcterms:modified>
</cp:coreProperties>
</file>