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66453">
      <w:pPr>
        <w:spacing w:before="156" w:beforeLines="50" w:after="156" w:afterLines="50" w:line="480" w:lineRule="auto"/>
        <w:jc w:val="center"/>
        <w:rPr>
          <w:rFonts w:ascii="楷体" w:hAnsi="楷体" w:eastAsia="楷体" w:cs="楷体"/>
          <w:b/>
          <w:bCs/>
          <w:sz w:val="44"/>
          <w:szCs w:val="44"/>
        </w:rPr>
      </w:pPr>
    </w:p>
    <w:p w14:paraId="1E3B34F8">
      <w:pPr>
        <w:spacing w:before="156" w:beforeLines="50" w:after="156" w:afterLines="50" w:line="480" w:lineRule="auto"/>
        <w:jc w:val="center"/>
        <w:rPr>
          <w:rFonts w:ascii="楷体" w:hAnsi="楷体" w:eastAsia="楷体" w:cs="楷体"/>
          <w:b/>
          <w:bCs/>
          <w:sz w:val="44"/>
          <w:szCs w:val="44"/>
        </w:rPr>
      </w:pPr>
    </w:p>
    <w:p w14:paraId="0779739D">
      <w:pPr>
        <w:spacing w:before="156" w:beforeLines="50" w:after="156" w:afterLines="50" w:line="480" w:lineRule="auto"/>
        <w:jc w:val="center"/>
        <w:rPr>
          <w:rFonts w:ascii="楷体" w:hAnsi="楷体" w:eastAsia="楷体" w:cs="楷体"/>
          <w:b/>
          <w:bCs/>
          <w:sz w:val="44"/>
          <w:szCs w:val="44"/>
        </w:rPr>
      </w:pPr>
      <w:r>
        <w:rPr>
          <w:rFonts w:hint="eastAsia" w:ascii="楷体" w:hAnsi="楷体" w:eastAsia="楷体" w:cs="楷体"/>
          <w:b/>
          <w:bCs/>
          <w:sz w:val="44"/>
          <w:szCs w:val="44"/>
        </w:rPr>
        <w:t>北京观韬（西安）律师事务所</w:t>
      </w:r>
    </w:p>
    <w:p w14:paraId="571D18C6">
      <w:pPr>
        <w:spacing w:before="156" w:beforeLines="50" w:after="156" w:afterLines="50" w:line="480" w:lineRule="auto"/>
        <w:jc w:val="center"/>
        <w:rPr>
          <w:rFonts w:ascii="楷体" w:hAnsi="楷体" w:eastAsia="楷体" w:cs="楷体"/>
          <w:b/>
          <w:bCs/>
          <w:sz w:val="44"/>
          <w:szCs w:val="44"/>
        </w:rPr>
      </w:pPr>
      <w:r>
        <w:rPr>
          <w:rFonts w:hint="eastAsia" w:ascii="楷体" w:hAnsi="楷体" w:eastAsia="楷体" w:cs="楷体"/>
          <w:b/>
          <w:bCs/>
          <w:sz w:val="44"/>
          <w:szCs w:val="44"/>
        </w:rPr>
        <w:t>关于宝钛集团有限公司</w:t>
      </w:r>
    </w:p>
    <w:p w14:paraId="7DEBA846">
      <w:pPr>
        <w:spacing w:before="156" w:beforeLines="50" w:after="156" w:afterLines="50" w:line="480" w:lineRule="auto"/>
        <w:jc w:val="center"/>
        <w:rPr>
          <w:rFonts w:ascii="楷体" w:hAnsi="楷体" w:eastAsia="楷体" w:cs="楷体"/>
          <w:b/>
          <w:bCs/>
          <w:sz w:val="44"/>
          <w:szCs w:val="44"/>
        </w:rPr>
      </w:pPr>
      <w:r>
        <w:rPr>
          <w:rFonts w:hint="eastAsia" w:ascii="楷体" w:hAnsi="楷体" w:eastAsia="楷体" w:cs="楷体"/>
          <w:b/>
          <w:bCs/>
          <w:sz w:val="44"/>
          <w:szCs w:val="44"/>
        </w:rPr>
        <w:t>增持南京宝色股份公司股份</w:t>
      </w:r>
    </w:p>
    <w:p w14:paraId="7844D463">
      <w:pPr>
        <w:spacing w:before="156" w:beforeLines="50" w:after="156" w:afterLines="50" w:line="480" w:lineRule="auto"/>
        <w:jc w:val="center"/>
        <w:rPr>
          <w:rFonts w:ascii="楷体" w:hAnsi="楷体" w:eastAsia="楷体" w:cs="楷体"/>
          <w:b/>
          <w:bCs/>
          <w:sz w:val="44"/>
          <w:szCs w:val="44"/>
        </w:rPr>
      </w:pPr>
      <w:r>
        <w:rPr>
          <w:rFonts w:hint="eastAsia" w:ascii="楷体" w:hAnsi="楷体" w:eastAsia="楷体" w:cs="楷体"/>
          <w:b/>
          <w:bCs/>
          <w:sz w:val="44"/>
          <w:szCs w:val="44"/>
        </w:rPr>
        <w:t>的法律意见书</w:t>
      </w:r>
    </w:p>
    <w:p w14:paraId="253DB4FD">
      <w:pPr>
        <w:spacing w:before="156" w:beforeLines="50" w:after="156" w:afterLines="50" w:line="480" w:lineRule="auto"/>
        <w:jc w:val="center"/>
        <w:rPr>
          <w:rFonts w:ascii="楷体" w:hAnsi="楷体" w:eastAsia="楷体" w:cs="楷体"/>
          <w:b/>
          <w:bCs/>
          <w:sz w:val="44"/>
          <w:szCs w:val="44"/>
        </w:rPr>
      </w:pPr>
    </w:p>
    <w:p w14:paraId="0E1DEDF2">
      <w:pPr>
        <w:spacing w:before="156" w:beforeLines="50" w:after="156" w:afterLines="50" w:line="480" w:lineRule="auto"/>
        <w:jc w:val="center"/>
        <w:rPr>
          <w:rFonts w:ascii="楷体" w:hAnsi="楷体" w:eastAsia="楷体" w:cs="楷体"/>
          <w:b/>
          <w:bCs/>
          <w:sz w:val="44"/>
          <w:szCs w:val="44"/>
        </w:rPr>
      </w:pPr>
    </w:p>
    <w:p w14:paraId="75843F74">
      <w:pPr>
        <w:spacing w:before="156" w:beforeLines="50" w:after="156" w:afterLines="50" w:line="480" w:lineRule="auto"/>
        <w:jc w:val="center"/>
        <w:rPr>
          <w:rFonts w:ascii="楷体" w:hAnsi="楷体" w:eastAsia="楷体" w:cs="楷体"/>
          <w:b/>
          <w:bCs/>
          <w:sz w:val="36"/>
          <w:szCs w:val="36"/>
        </w:rPr>
      </w:pPr>
      <w:r>
        <w:rPr>
          <w:rFonts w:hint="eastAsia" w:ascii="楷体" w:hAnsi="楷体" w:eastAsia="楷体" w:cs="楷体"/>
          <w:b/>
          <w:bCs/>
          <w:sz w:val="36"/>
          <w:szCs w:val="36"/>
        </w:rPr>
        <w:t>观意字2025XA000492号</w:t>
      </w:r>
    </w:p>
    <w:p w14:paraId="483DECDE">
      <w:pPr>
        <w:jc w:val="center"/>
        <w:rPr>
          <w:rFonts w:ascii="楷体" w:hAnsi="楷体" w:eastAsia="楷体" w:cs="楷体"/>
          <w:b/>
          <w:bCs/>
          <w:sz w:val="32"/>
          <w:szCs w:val="32"/>
        </w:rPr>
      </w:pPr>
    </w:p>
    <w:p w14:paraId="7AE53A6A">
      <w:pPr>
        <w:jc w:val="center"/>
        <w:rPr>
          <w:rFonts w:ascii="楷体" w:hAnsi="楷体" w:eastAsia="楷体" w:cs="楷体"/>
          <w:b/>
          <w:bCs/>
          <w:sz w:val="32"/>
          <w:szCs w:val="32"/>
        </w:rPr>
      </w:pPr>
    </w:p>
    <w:p w14:paraId="521C8B6C">
      <w:pPr>
        <w:jc w:val="center"/>
        <w:rPr>
          <w:rFonts w:ascii="楷体" w:hAnsi="楷体" w:eastAsia="楷体" w:cs="楷体"/>
          <w:b/>
          <w:bCs/>
          <w:sz w:val="32"/>
          <w:szCs w:val="32"/>
        </w:rPr>
      </w:pPr>
    </w:p>
    <w:p w14:paraId="5C759033">
      <w:pPr>
        <w:jc w:val="center"/>
        <w:rPr>
          <w:rFonts w:ascii="楷体" w:hAnsi="楷体" w:eastAsia="楷体" w:cs="楷体"/>
          <w:b/>
          <w:bCs/>
          <w:sz w:val="32"/>
          <w:szCs w:val="32"/>
        </w:rPr>
      </w:pPr>
    </w:p>
    <w:p w14:paraId="13E4B11E">
      <w:pPr>
        <w:jc w:val="center"/>
        <w:rPr>
          <w:rFonts w:ascii="楷体" w:hAnsi="楷体" w:eastAsia="楷体" w:cs="楷体"/>
          <w:b/>
          <w:bCs/>
          <w:sz w:val="32"/>
          <w:szCs w:val="32"/>
        </w:rPr>
      </w:pPr>
    </w:p>
    <w:p w14:paraId="37115454">
      <w:pPr>
        <w:jc w:val="center"/>
        <w:rPr>
          <w:rFonts w:ascii="楷体" w:hAnsi="楷体" w:eastAsia="楷体" w:cs="楷体"/>
          <w:b/>
          <w:bCs/>
          <w:sz w:val="32"/>
          <w:szCs w:val="32"/>
        </w:rPr>
      </w:pPr>
    </w:p>
    <w:p w14:paraId="21735A38">
      <w:pPr>
        <w:jc w:val="center"/>
        <w:rPr>
          <w:rFonts w:ascii="楷体" w:hAnsi="楷体" w:eastAsia="楷体" w:cs="楷体"/>
          <w:b/>
          <w:bCs/>
          <w:sz w:val="32"/>
          <w:szCs w:val="32"/>
        </w:rPr>
      </w:pPr>
      <w:r>
        <w:rPr>
          <w:rFonts w:hint="eastAsia" w:ascii="楷体" w:hAnsi="楷体" w:eastAsia="楷体" w:cs="楷体"/>
          <w:b/>
          <w:bCs/>
          <w:sz w:val="32"/>
          <w:szCs w:val="32"/>
        </w:rPr>
        <w:t>二零二五年十月</w:t>
      </w:r>
    </w:p>
    <w:p w14:paraId="6414EB95">
      <w:pPr>
        <w:jc w:val="left"/>
        <w:rPr>
          <w:rFonts w:ascii="楷体" w:hAnsi="楷体" w:eastAsia="楷体" w:cs="楷体"/>
          <w:b/>
          <w:bCs/>
          <w:sz w:val="24"/>
          <w:szCs w:val="24"/>
        </w:rPr>
      </w:pPr>
      <w:r>
        <w:rPr>
          <w:rFonts w:hint="eastAsia" w:ascii="楷体" w:hAnsi="楷体" w:eastAsia="楷体" w:cs="楷体"/>
          <w:b/>
          <w:bCs/>
          <w:sz w:val="24"/>
          <w:szCs w:val="24"/>
        </w:rPr>
        <w:br w:type="page"/>
      </w:r>
    </w:p>
    <w:p w14:paraId="376C9948">
      <w:pPr>
        <w:adjustRightInd w:val="0"/>
        <w:spacing w:line="360" w:lineRule="auto"/>
        <w:jc w:val="center"/>
        <w:rPr>
          <w:rFonts w:ascii="楷体" w:hAnsi="楷体" w:eastAsia="楷体" w:cs="楷体"/>
          <w:b/>
          <w:bCs/>
          <w:sz w:val="32"/>
          <w:szCs w:val="32"/>
        </w:rPr>
      </w:pPr>
      <w:r>
        <w:rPr>
          <w:rFonts w:hint="eastAsia" w:ascii="楷体" w:hAnsi="楷体" w:eastAsia="楷体" w:cs="楷体"/>
          <w:b/>
          <w:bCs/>
          <w:sz w:val="32"/>
          <w:szCs w:val="32"/>
        </w:rPr>
        <w:t>北京观韬（西安）律师事务所</w:t>
      </w:r>
    </w:p>
    <w:p w14:paraId="6F2ADE83">
      <w:pPr>
        <w:adjustRightInd w:val="0"/>
        <w:spacing w:line="360" w:lineRule="auto"/>
        <w:jc w:val="center"/>
        <w:rPr>
          <w:rFonts w:ascii="楷体" w:hAnsi="楷体" w:eastAsia="楷体" w:cs="楷体"/>
          <w:b/>
          <w:bCs/>
          <w:sz w:val="32"/>
          <w:szCs w:val="32"/>
        </w:rPr>
      </w:pPr>
      <w:r>
        <w:rPr>
          <w:rFonts w:hint="eastAsia" w:ascii="楷体" w:hAnsi="楷体" w:eastAsia="楷体" w:cs="楷体"/>
          <w:b/>
          <w:bCs/>
          <w:sz w:val="32"/>
          <w:szCs w:val="32"/>
        </w:rPr>
        <w:t>关于宝钛集团有限公司</w:t>
      </w:r>
    </w:p>
    <w:p w14:paraId="339CE871">
      <w:pPr>
        <w:adjustRightInd w:val="0"/>
        <w:spacing w:line="360" w:lineRule="auto"/>
        <w:jc w:val="center"/>
        <w:rPr>
          <w:rFonts w:ascii="楷体" w:hAnsi="楷体" w:eastAsia="楷体" w:cs="楷体"/>
          <w:b/>
          <w:bCs/>
          <w:sz w:val="32"/>
          <w:szCs w:val="32"/>
        </w:rPr>
      </w:pPr>
      <w:r>
        <w:rPr>
          <w:rFonts w:hint="eastAsia" w:ascii="楷体" w:hAnsi="楷体" w:eastAsia="楷体" w:cs="楷体"/>
          <w:b/>
          <w:bCs/>
          <w:sz w:val="32"/>
          <w:szCs w:val="32"/>
        </w:rPr>
        <w:t>增持南京宝色股份公司股份</w:t>
      </w:r>
    </w:p>
    <w:p w14:paraId="1865F9C5">
      <w:pPr>
        <w:adjustRightInd w:val="0"/>
        <w:spacing w:line="360" w:lineRule="auto"/>
        <w:jc w:val="center"/>
        <w:rPr>
          <w:rFonts w:ascii="楷体" w:hAnsi="楷体" w:eastAsia="楷体" w:cs="楷体"/>
          <w:b/>
          <w:bCs/>
          <w:sz w:val="32"/>
          <w:szCs w:val="32"/>
        </w:rPr>
      </w:pPr>
      <w:r>
        <w:rPr>
          <w:rFonts w:hint="eastAsia" w:ascii="楷体" w:hAnsi="楷体" w:eastAsia="楷体" w:cs="楷体"/>
          <w:b/>
          <w:bCs/>
          <w:sz w:val="32"/>
          <w:szCs w:val="32"/>
        </w:rPr>
        <w:t>的法律意见书</w:t>
      </w:r>
    </w:p>
    <w:p w14:paraId="3F88FB4E">
      <w:pPr>
        <w:spacing w:before="156" w:beforeLines="50" w:after="156" w:afterLines="50" w:line="360" w:lineRule="auto"/>
        <w:jc w:val="right"/>
        <w:rPr>
          <w:rFonts w:ascii="楷体" w:hAnsi="楷体" w:eastAsia="楷体" w:cs="楷体"/>
          <w:b/>
          <w:bCs/>
          <w:sz w:val="24"/>
          <w:szCs w:val="24"/>
        </w:rPr>
      </w:pPr>
      <w:r>
        <w:rPr>
          <w:rFonts w:hint="eastAsia" w:ascii="楷体" w:hAnsi="楷体" w:eastAsia="楷体" w:cs="楷体"/>
          <w:b/>
          <w:bCs/>
          <w:sz w:val="24"/>
          <w:szCs w:val="24"/>
        </w:rPr>
        <w:t>观意字2025XA000492号</w:t>
      </w:r>
    </w:p>
    <w:p w14:paraId="3BCC6D99">
      <w:pPr>
        <w:spacing w:before="156" w:beforeLines="50" w:after="156" w:afterLines="50" w:line="360" w:lineRule="auto"/>
        <w:rPr>
          <w:rFonts w:ascii="楷体" w:hAnsi="楷体" w:eastAsia="楷体" w:cs="楷体"/>
          <w:b/>
          <w:bCs/>
          <w:sz w:val="24"/>
          <w:szCs w:val="24"/>
        </w:rPr>
      </w:pPr>
      <w:r>
        <w:rPr>
          <w:rFonts w:hint="eastAsia" w:ascii="楷体" w:hAnsi="楷体" w:eastAsia="楷体" w:cs="楷体"/>
          <w:b/>
          <w:bCs/>
          <w:sz w:val="24"/>
          <w:szCs w:val="24"/>
        </w:rPr>
        <w:t>致：宝钛集团有限公司</w:t>
      </w:r>
    </w:p>
    <w:p w14:paraId="145A2F18">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北京观韬（西安）律师事务所（以下简称为“本所”）接受宝钛集团有限公司（以下简称“增持人”或“</w:t>
      </w:r>
      <w:bookmarkStart w:id="0" w:name="OLE_LINK4"/>
      <w:r>
        <w:rPr>
          <w:rFonts w:hint="eastAsia" w:ascii="楷体" w:hAnsi="楷体" w:eastAsia="楷体" w:cs="楷体"/>
          <w:sz w:val="24"/>
          <w:szCs w:val="24"/>
        </w:rPr>
        <w:t>宝钛集团</w:t>
      </w:r>
      <w:bookmarkEnd w:id="0"/>
      <w:r>
        <w:rPr>
          <w:rFonts w:hint="eastAsia" w:ascii="楷体" w:hAnsi="楷体" w:eastAsia="楷体" w:cs="楷体"/>
          <w:sz w:val="24"/>
          <w:szCs w:val="24"/>
        </w:rPr>
        <w:t>”）的委托，根据《中华人民共和国公司法（2023年修订）》（以下简称《公司法》）、《中华人民共和国证券法（2019年修订）》（以下简称《证券法》）、《</w:t>
      </w:r>
      <w:bookmarkStart w:id="1" w:name="OLE_LINK1"/>
      <w:r>
        <w:rPr>
          <w:rFonts w:hint="eastAsia" w:ascii="楷体" w:hAnsi="楷体" w:eastAsia="楷体" w:cs="楷体"/>
          <w:sz w:val="24"/>
          <w:szCs w:val="24"/>
        </w:rPr>
        <w:t>上市公司收购管理办法</w:t>
      </w:r>
      <w:bookmarkEnd w:id="1"/>
      <w:r>
        <w:rPr>
          <w:rFonts w:hint="eastAsia" w:ascii="楷体" w:hAnsi="楷体" w:eastAsia="楷体" w:cs="楷体"/>
          <w:sz w:val="24"/>
          <w:szCs w:val="24"/>
        </w:rPr>
        <w:t>（2025年修正）》（以下简称《收购管理办法》）、《</w:t>
      </w:r>
      <w:bookmarkStart w:id="2" w:name="OLE_LINK2"/>
      <w:r>
        <w:rPr>
          <w:rFonts w:hint="eastAsia" w:ascii="楷体" w:hAnsi="楷体" w:eastAsia="楷体" w:cs="楷体"/>
          <w:sz w:val="24"/>
          <w:szCs w:val="24"/>
        </w:rPr>
        <w:t>深圳证券交易所创业板股票上市规则</w:t>
      </w:r>
      <w:bookmarkEnd w:id="2"/>
      <w:r>
        <w:rPr>
          <w:rFonts w:hint="eastAsia" w:ascii="楷体" w:hAnsi="楷体" w:eastAsia="楷体" w:cs="楷体"/>
          <w:sz w:val="24"/>
          <w:szCs w:val="24"/>
        </w:rPr>
        <w:t>（2025年修订）》、《</w:t>
      </w:r>
      <w:bookmarkStart w:id="3" w:name="OLE_LINK3"/>
      <w:r>
        <w:rPr>
          <w:rFonts w:hint="eastAsia" w:ascii="楷体" w:hAnsi="楷体" w:eastAsia="楷体" w:cs="楷体"/>
          <w:sz w:val="24"/>
          <w:szCs w:val="24"/>
        </w:rPr>
        <w:t>深圳证券交易所上市公司自律监管指引第10号</w:t>
      </w:r>
      <w:bookmarkEnd w:id="3"/>
      <w:r>
        <w:rPr>
          <w:rFonts w:hint="eastAsia" w:ascii="楷体" w:hAnsi="楷体" w:eastAsia="楷体" w:cs="楷体"/>
          <w:sz w:val="24"/>
          <w:szCs w:val="24"/>
        </w:rPr>
        <w:t>——股份变动管理（2025年修订）》（以下简称《自律监管指引第10号》）等相关法律、行政法规、部门规章及规范性文件的有关规定，就宝钛集团增持南京宝色股份公司（以下简称“宝色股份”、“公司”）股份事宜（以下简称“本次增持”）出具本法律意见书。</w:t>
      </w:r>
    </w:p>
    <w:p w14:paraId="6BF4BAAD">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为出具本法律意见书，本所作出如下声明：</w:t>
      </w:r>
    </w:p>
    <w:p w14:paraId="47AC7A76">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1.本所律师根据本法律意见书出具日前已经发生或存在的事实，根据我国现行法律、法规和规范性文件的要求发表法律意见。且本所律师对某事项是否合法有效的判断，是以该事项发生时所适用的法律法规为依据，同时也充分考虑了有权部门给予的批准和确认。</w:t>
      </w:r>
    </w:p>
    <w:p w14:paraId="0192EAEB">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2.宝钛集团、宝色股份已对本所做出如下保证：宝钛集团、宝色股份已经向本所律师提供了本所律师认为出具本法律意见书所必需的、真实、准确、完整的原始书面材料、副本材料、复印材料、确认函或证明，并无任何隐瞒、虚假、误导或重大遗漏之处；宝钛集团、宝色股份保证提供的正本与副本一致、原件与复印件一致，所提供的文件、材料上的所有签字和印章均是真实的；宝钛集团、宝色股份保证向本所律师作出的所有口头陈述和说明的事实均与所发生的事实一致。</w:t>
      </w:r>
    </w:p>
    <w:p w14:paraId="0FE463FE">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3.本法律意见书仅供宝钛集团为本次增持之目的使用，不得用作其他目的，本所同意将本法律意见书作为本次增持所必备的法律文件，随同其他材料一同上报或公开披露。</w:t>
      </w:r>
    </w:p>
    <w:p w14:paraId="75A433E0">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4.本所及经办律师依据《证券法》《律师事务所从事证券法律业务管理办法》和《律师事务所证券法律业务执业规则（试行）》等规定及本法律意见书出具日以前已经发生或者存在的事实，严格履行了法定职责，遵循了勤勉尽责和诚实信用原则，进行了充分的核查验证，保证本法律意见</w:t>
      </w:r>
      <w:r>
        <w:rPr>
          <w:rFonts w:hint="eastAsia" w:ascii="楷体" w:hAnsi="楷体" w:eastAsia="楷体" w:cs="楷体"/>
          <w:sz w:val="24"/>
          <w:szCs w:val="24"/>
          <w:lang w:val="en-US" w:eastAsia="zh-CN"/>
        </w:rPr>
        <w:t>书</w:t>
      </w:r>
      <w:r>
        <w:rPr>
          <w:rFonts w:hint="eastAsia" w:ascii="楷体" w:hAnsi="楷体" w:eastAsia="楷体" w:cs="楷体"/>
          <w:sz w:val="24"/>
          <w:szCs w:val="24"/>
        </w:rPr>
        <w:t>所认定的事实真实、准确、完整，所发表的结论性意见合法、准确，不存在虚假记载、误导性陈述或者重大遗漏，并承担相应法律责任。</w:t>
      </w:r>
    </w:p>
    <w:p w14:paraId="0EFFA0AD">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本所律师根据《公司法》《证券法》《</w:t>
      </w:r>
      <w:bookmarkStart w:id="4" w:name="OLE_LINK6"/>
      <w:r>
        <w:rPr>
          <w:rFonts w:hint="eastAsia" w:ascii="楷体" w:hAnsi="楷体" w:eastAsia="楷体" w:cs="楷体"/>
          <w:sz w:val="24"/>
          <w:szCs w:val="24"/>
        </w:rPr>
        <w:t>律师事务所从事证券法律业务管理办法</w:t>
      </w:r>
      <w:bookmarkEnd w:id="4"/>
      <w:r>
        <w:rPr>
          <w:rFonts w:hint="eastAsia" w:ascii="楷体" w:hAnsi="楷体" w:eastAsia="楷体" w:cs="楷体"/>
          <w:sz w:val="24"/>
          <w:szCs w:val="24"/>
        </w:rPr>
        <w:t>》和《</w:t>
      </w:r>
      <w:bookmarkStart w:id="5" w:name="OLE_LINK7"/>
      <w:bookmarkStart w:id="6" w:name="OLE_LINK5"/>
      <w:r>
        <w:rPr>
          <w:rFonts w:hint="eastAsia" w:ascii="楷体" w:hAnsi="楷体" w:eastAsia="楷体" w:cs="楷体"/>
          <w:sz w:val="24"/>
          <w:szCs w:val="24"/>
        </w:rPr>
        <w:t>律师事务所证券法律业务执业规</w:t>
      </w:r>
      <w:bookmarkEnd w:id="5"/>
      <w:r>
        <w:rPr>
          <w:rFonts w:hint="eastAsia" w:ascii="楷体" w:hAnsi="楷体" w:eastAsia="楷体" w:cs="楷体"/>
          <w:sz w:val="24"/>
          <w:szCs w:val="24"/>
        </w:rPr>
        <w:t>则（试行）</w:t>
      </w:r>
      <w:bookmarkEnd w:id="6"/>
      <w:r>
        <w:rPr>
          <w:rFonts w:hint="eastAsia" w:ascii="楷体" w:hAnsi="楷体" w:eastAsia="楷体" w:cs="楷体"/>
          <w:sz w:val="24"/>
          <w:szCs w:val="24"/>
        </w:rPr>
        <w:t>》等有关法律、行政法规、部门规章及规范性文件的有关规定，按照律师行业公认的业务标准、道德规范和勤勉尽责精神，对有关文件和事实进行了核查和验证，就本次增持出具法律意见如下：</w:t>
      </w:r>
    </w:p>
    <w:p w14:paraId="2A9371C4">
      <w:pPr>
        <w:spacing w:before="156" w:beforeLines="50" w:after="156" w:afterLines="50" w:line="360" w:lineRule="auto"/>
        <w:ind w:firstLine="482" w:firstLineChars="200"/>
        <w:outlineLvl w:val="0"/>
        <w:rPr>
          <w:rFonts w:ascii="楷体" w:hAnsi="楷体" w:eastAsia="楷体" w:cs="楷体"/>
          <w:b/>
          <w:bCs/>
          <w:sz w:val="24"/>
          <w:szCs w:val="24"/>
        </w:rPr>
      </w:pPr>
      <w:r>
        <w:rPr>
          <w:rFonts w:hint="eastAsia" w:ascii="楷体" w:hAnsi="楷体" w:eastAsia="楷体" w:cs="楷体"/>
          <w:b/>
          <w:bCs/>
          <w:sz w:val="24"/>
          <w:szCs w:val="24"/>
        </w:rPr>
        <w:t>一、增持人的主体资格</w:t>
      </w:r>
    </w:p>
    <w:p w14:paraId="61B2D044">
      <w:pPr>
        <w:spacing w:before="156" w:beforeLines="50" w:after="156" w:afterLines="50"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（一）增持人的基本情况</w:t>
      </w:r>
    </w:p>
    <w:p w14:paraId="0C8A4F98">
      <w:pPr>
        <w:numPr>
          <w:ilvl w:val="-1"/>
          <w:numId w:val="0"/>
        </w:numPr>
        <w:spacing w:before="156" w:beforeLines="50" w:after="156" w:afterLines="50" w:line="360" w:lineRule="auto"/>
        <w:ind w:firstLine="480" w:firstLineChars="200"/>
        <w:rPr>
          <w:rFonts w:ascii="楷体" w:hAnsi="楷体" w:eastAsia="楷体" w:cs="楷体"/>
          <w:sz w:val="24"/>
          <w:szCs w:val="24"/>
        </w:rPr>
      </w:pPr>
      <w:r>
        <w:rPr>
          <w:rFonts w:ascii="楷体" w:hAnsi="楷体" w:eastAsia="楷体" w:cs="楷体"/>
          <w:sz w:val="24"/>
          <w:szCs w:val="24"/>
        </w:rPr>
        <w:drawing>
          <wp:anchor distT="0" distB="0" distL="0" distR="0" simplePos="0" relativeHeight="251660288" behindDoc="1" locked="0" layoutInCell="1" allowOverlap="1">
            <wp:simplePos x="0" y="0"/>
            <wp:positionH relativeFrom="column">
              <wp:posOffset>6816725</wp:posOffset>
            </wp:positionH>
            <wp:positionV relativeFrom="paragraph">
              <wp:posOffset>497840</wp:posOffset>
            </wp:positionV>
            <wp:extent cx="92075" cy="1259840"/>
            <wp:effectExtent l="0" t="0" r="3175" b="1651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
                    <a:stretch>
                      <a:fillRect/>
                    </a:stretch>
                  </pic:blipFill>
                  <pic:spPr>
                    <a:xfrm>
                      <a:off x="0" y="0"/>
                      <a:ext cx="92078" cy="1259853"/>
                    </a:xfrm>
                    <a:prstGeom prst="rect">
                      <a:avLst/>
                    </a:prstGeom>
                  </pic:spPr>
                </pic:pic>
              </a:graphicData>
            </a:graphic>
          </wp:anchor>
        </w:drawing>
      </w:r>
      <w:r>
        <w:rPr>
          <w:rFonts w:hint="eastAsia" w:ascii="楷体" w:hAnsi="楷体" w:eastAsia="楷体" w:cs="楷体"/>
          <w:sz w:val="24"/>
          <w:szCs w:val="24"/>
        </w:rPr>
        <w:t>根据宝鸡市市场监督管理局高新开发区分局于2025年7月24日向宝钛集团核发的《营业执照》，并经本所律师在国家企业信用信息公示系统（https://www.gsxt.gov.cn/index.html）查询，截至本法律意见书出具日，宝钛集团的基本信息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6513"/>
      </w:tblGrid>
      <w:tr w14:paraId="3959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126B9E6B">
            <w:pPr>
              <w:pStyle w:val="24"/>
              <w:spacing w:before="175" w:line="221" w:lineRule="auto"/>
              <w:ind w:left="88"/>
            </w:pPr>
            <w:r>
              <w:rPr>
                <w:rFonts w:hint="eastAsia" w:ascii="楷体" w:hAnsi="楷体" w:eastAsia="楷体" w:cs="楷体"/>
                <w:b/>
                <w:bCs/>
                <w:spacing w:val="-6"/>
                <w:sz w:val="21"/>
                <w:szCs w:val="21"/>
              </w:rPr>
              <w:t>名称</w:t>
            </w:r>
          </w:p>
        </w:tc>
        <w:tc>
          <w:tcPr>
            <w:tcW w:w="6513" w:type="dxa"/>
          </w:tcPr>
          <w:p w14:paraId="290C4DF3">
            <w:pPr>
              <w:pStyle w:val="24"/>
              <w:spacing w:before="171" w:line="219" w:lineRule="auto"/>
              <w:ind w:left="96"/>
            </w:pPr>
            <w:r>
              <w:rPr>
                <w:rFonts w:hint="eastAsia" w:ascii="楷体" w:hAnsi="楷体" w:eastAsia="楷体" w:cs="楷体"/>
                <w:sz w:val="21"/>
                <w:szCs w:val="21"/>
                <w:lang w:eastAsia="zh-CN"/>
              </w:rPr>
              <w:t>宝钛集团有限公司</w:t>
            </w:r>
          </w:p>
        </w:tc>
      </w:tr>
      <w:tr w14:paraId="1637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675970DE">
            <w:pPr>
              <w:pStyle w:val="24"/>
              <w:spacing w:before="166" w:line="219" w:lineRule="auto"/>
              <w:ind w:left="88"/>
            </w:pPr>
            <w:r>
              <w:rPr>
                <w:rFonts w:hint="eastAsia" w:ascii="楷体" w:hAnsi="楷体" w:eastAsia="楷体" w:cs="楷体"/>
                <w:b/>
                <w:bCs/>
                <w:spacing w:val="-2"/>
                <w:sz w:val="21"/>
                <w:szCs w:val="21"/>
              </w:rPr>
              <w:t>统一社会信用代码</w:t>
            </w:r>
          </w:p>
        </w:tc>
        <w:tc>
          <w:tcPr>
            <w:tcW w:w="6513" w:type="dxa"/>
          </w:tcPr>
          <w:p w14:paraId="019DBD36">
            <w:pPr>
              <w:pStyle w:val="24"/>
              <w:spacing w:before="195"/>
              <w:ind w:left="92"/>
            </w:pPr>
            <w:r>
              <w:rPr>
                <w:rFonts w:hint="eastAsia" w:ascii="楷体" w:hAnsi="楷体" w:eastAsia="楷体" w:cs="楷体"/>
                <w:spacing w:val="-1"/>
                <w:sz w:val="21"/>
                <w:szCs w:val="21"/>
              </w:rPr>
              <w:t>91610301221302782B</w:t>
            </w:r>
          </w:p>
        </w:tc>
      </w:tr>
      <w:tr w14:paraId="51B8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680CDBE5">
            <w:pPr>
              <w:pStyle w:val="24"/>
              <w:spacing w:before="172" w:line="219" w:lineRule="auto"/>
              <w:ind w:left="85"/>
            </w:pPr>
            <w:r>
              <w:rPr>
                <w:rFonts w:hint="eastAsia" w:ascii="楷体" w:hAnsi="楷体" w:eastAsia="楷体" w:cs="楷体"/>
                <w:b/>
                <w:bCs/>
                <w:spacing w:val="8"/>
                <w:sz w:val="21"/>
                <w:szCs w:val="21"/>
              </w:rPr>
              <w:t>类型</w:t>
            </w:r>
          </w:p>
        </w:tc>
        <w:tc>
          <w:tcPr>
            <w:tcW w:w="6513" w:type="dxa"/>
          </w:tcPr>
          <w:p w14:paraId="7CC7EEED">
            <w:pPr>
              <w:pStyle w:val="24"/>
              <w:spacing w:before="172" w:line="219" w:lineRule="auto"/>
              <w:ind w:left="92"/>
              <w:rPr>
                <w:lang w:eastAsia="zh-CN"/>
              </w:rPr>
            </w:pPr>
            <w:r>
              <w:rPr>
                <w:rFonts w:hint="eastAsia" w:ascii="楷体" w:hAnsi="楷体" w:eastAsia="楷体" w:cs="楷体"/>
                <w:sz w:val="21"/>
                <w:szCs w:val="21"/>
                <w:lang w:eastAsia="zh-CN"/>
              </w:rPr>
              <w:t>有限责任公司（国有控股）</w:t>
            </w:r>
          </w:p>
        </w:tc>
      </w:tr>
      <w:tr w14:paraId="4DDF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108D17F8">
            <w:pPr>
              <w:pStyle w:val="24"/>
              <w:spacing w:before="183" w:line="220" w:lineRule="auto"/>
              <w:ind w:left="85"/>
            </w:pPr>
            <w:r>
              <w:rPr>
                <w:rFonts w:hint="eastAsia" w:ascii="楷体" w:hAnsi="楷体" w:eastAsia="楷体" w:cs="楷体"/>
                <w:b/>
                <w:bCs/>
                <w:spacing w:val="-3"/>
                <w:sz w:val="21"/>
                <w:szCs w:val="21"/>
              </w:rPr>
              <w:t>住所</w:t>
            </w:r>
          </w:p>
        </w:tc>
        <w:tc>
          <w:tcPr>
            <w:tcW w:w="6513" w:type="dxa"/>
          </w:tcPr>
          <w:p w14:paraId="7B90D007">
            <w:pPr>
              <w:pStyle w:val="24"/>
              <w:spacing w:before="183" w:line="219" w:lineRule="auto"/>
              <w:ind w:left="92"/>
              <w:rPr>
                <w:lang w:eastAsia="zh-CN"/>
              </w:rPr>
            </w:pPr>
            <w:r>
              <w:rPr>
                <w:rFonts w:hint="eastAsia" w:ascii="楷体" w:hAnsi="楷体" w:eastAsia="楷体" w:cs="楷体"/>
                <w:sz w:val="21"/>
                <w:szCs w:val="21"/>
                <w:lang w:eastAsia="zh-CN"/>
              </w:rPr>
              <w:t>陕西省宝鸡市高新开发区高新大道88号</w:t>
            </w:r>
          </w:p>
        </w:tc>
      </w:tr>
      <w:tr w14:paraId="498F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08F763C9">
            <w:pPr>
              <w:pStyle w:val="24"/>
              <w:spacing w:before="172" w:line="219" w:lineRule="auto"/>
              <w:ind w:left="85"/>
            </w:pPr>
            <w:r>
              <w:rPr>
                <w:rFonts w:hint="eastAsia" w:ascii="楷体" w:hAnsi="楷体" w:eastAsia="楷体" w:cs="楷体"/>
                <w:b/>
                <w:bCs/>
                <w:spacing w:val="2"/>
                <w:sz w:val="21"/>
                <w:szCs w:val="21"/>
              </w:rPr>
              <w:t>注册资本</w:t>
            </w:r>
          </w:p>
        </w:tc>
        <w:tc>
          <w:tcPr>
            <w:tcW w:w="6513" w:type="dxa"/>
          </w:tcPr>
          <w:p w14:paraId="6690A2F8">
            <w:pPr>
              <w:pStyle w:val="24"/>
              <w:spacing w:before="170" w:line="216" w:lineRule="auto"/>
              <w:ind w:left="92"/>
            </w:pPr>
            <w:r>
              <w:rPr>
                <w:rFonts w:hint="eastAsia" w:ascii="楷体" w:hAnsi="楷体" w:eastAsia="楷体" w:cs="楷体"/>
                <w:spacing w:val="2"/>
                <w:sz w:val="21"/>
                <w:szCs w:val="21"/>
              </w:rPr>
              <w:t>100</w:t>
            </w:r>
            <w:r>
              <w:rPr>
                <w:rFonts w:hint="eastAsia" w:ascii="楷体" w:hAnsi="楷体" w:eastAsia="楷体" w:cs="楷体"/>
                <w:spacing w:val="2"/>
                <w:sz w:val="21"/>
                <w:szCs w:val="21"/>
                <w:lang w:eastAsia="zh-CN"/>
              </w:rPr>
              <w:t>,</w:t>
            </w:r>
            <w:r>
              <w:rPr>
                <w:rFonts w:hint="eastAsia" w:ascii="楷体" w:hAnsi="楷体" w:eastAsia="楷体" w:cs="楷体"/>
                <w:spacing w:val="2"/>
                <w:sz w:val="21"/>
                <w:szCs w:val="21"/>
              </w:rPr>
              <w:t>000万元</w:t>
            </w:r>
          </w:p>
        </w:tc>
      </w:tr>
      <w:tr w14:paraId="2C64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5A537CA3">
            <w:pPr>
              <w:pStyle w:val="24"/>
              <w:spacing w:before="175" w:line="219" w:lineRule="auto"/>
              <w:ind w:left="85"/>
            </w:pPr>
            <w:r>
              <w:rPr>
                <w:rFonts w:hint="eastAsia" w:ascii="楷体" w:hAnsi="楷体" w:eastAsia="楷体" w:cs="楷体"/>
                <w:b/>
                <w:bCs/>
                <w:spacing w:val="2"/>
                <w:sz w:val="21"/>
                <w:szCs w:val="21"/>
              </w:rPr>
              <w:t>法定代表人</w:t>
            </w:r>
          </w:p>
        </w:tc>
        <w:tc>
          <w:tcPr>
            <w:tcW w:w="6513" w:type="dxa"/>
          </w:tcPr>
          <w:p w14:paraId="51A0C3C8">
            <w:pPr>
              <w:pStyle w:val="24"/>
              <w:spacing w:before="176" w:line="220" w:lineRule="auto"/>
              <w:ind w:left="92"/>
            </w:pPr>
            <w:r>
              <w:rPr>
                <w:rFonts w:hint="eastAsia" w:ascii="楷体" w:hAnsi="楷体" w:eastAsia="楷体" w:cs="楷体"/>
                <w:sz w:val="21"/>
                <w:szCs w:val="21"/>
              </w:rPr>
              <w:t>王俭</w:t>
            </w:r>
          </w:p>
        </w:tc>
      </w:tr>
      <w:tr w14:paraId="152C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38EB0D6E">
            <w:pPr>
              <w:pStyle w:val="24"/>
              <w:spacing w:before="177" w:line="220" w:lineRule="auto"/>
              <w:ind w:left="85"/>
            </w:pPr>
            <w:r>
              <w:rPr>
                <w:rFonts w:hint="eastAsia" w:ascii="楷体" w:hAnsi="楷体" w:eastAsia="楷体" w:cs="楷体"/>
                <w:b/>
                <w:bCs/>
                <w:spacing w:val="4"/>
                <w:sz w:val="21"/>
                <w:szCs w:val="21"/>
              </w:rPr>
              <w:t>成立日期</w:t>
            </w:r>
          </w:p>
        </w:tc>
        <w:tc>
          <w:tcPr>
            <w:tcW w:w="6513" w:type="dxa"/>
          </w:tcPr>
          <w:p w14:paraId="2FDAD3D4">
            <w:pPr>
              <w:pStyle w:val="24"/>
              <w:spacing w:before="176" w:line="219" w:lineRule="auto"/>
              <w:ind w:left="92"/>
            </w:pPr>
            <w:r>
              <w:rPr>
                <w:rFonts w:hint="eastAsia" w:ascii="楷体" w:hAnsi="楷体" w:eastAsia="楷体" w:cs="楷体"/>
                <w:sz w:val="21"/>
                <w:szCs w:val="21"/>
                <w:lang w:eastAsia="zh-CN"/>
              </w:rPr>
              <w:t>2005</w:t>
            </w:r>
            <w:r>
              <w:rPr>
                <w:rFonts w:hint="eastAsia" w:ascii="楷体" w:hAnsi="楷体" w:eastAsia="楷体" w:cs="楷体"/>
                <w:sz w:val="21"/>
                <w:szCs w:val="21"/>
              </w:rPr>
              <w:t>年</w:t>
            </w:r>
            <w:r>
              <w:rPr>
                <w:rFonts w:hint="eastAsia" w:ascii="楷体" w:hAnsi="楷体" w:eastAsia="楷体" w:cs="楷体"/>
                <w:sz w:val="21"/>
                <w:szCs w:val="21"/>
                <w:lang w:eastAsia="zh-CN"/>
              </w:rPr>
              <w:t>8</w:t>
            </w:r>
            <w:r>
              <w:rPr>
                <w:rFonts w:hint="eastAsia" w:ascii="楷体" w:hAnsi="楷体" w:eastAsia="楷体" w:cs="楷体"/>
                <w:sz w:val="21"/>
                <w:szCs w:val="21"/>
              </w:rPr>
              <w:t>月2</w:t>
            </w:r>
            <w:r>
              <w:rPr>
                <w:rFonts w:hint="eastAsia" w:ascii="楷体" w:hAnsi="楷体" w:eastAsia="楷体" w:cs="楷体"/>
                <w:sz w:val="21"/>
                <w:szCs w:val="21"/>
                <w:lang w:eastAsia="zh-CN"/>
              </w:rPr>
              <w:t>6</w:t>
            </w:r>
            <w:r>
              <w:rPr>
                <w:rFonts w:hint="eastAsia" w:ascii="楷体" w:hAnsi="楷体" w:eastAsia="楷体" w:cs="楷体"/>
                <w:sz w:val="21"/>
                <w:szCs w:val="21"/>
              </w:rPr>
              <w:t>日</w:t>
            </w:r>
          </w:p>
        </w:tc>
      </w:tr>
      <w:tr w14:paraId="11E9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49A558F8">
            <w:pPr>
              <w:pStyle w:val="24"/>
              <w:spacing w:before="178" w:line="220" w:lineRule="auto"/>
              <w:ind w:left="85"/>
            </w:pPr>
            <w:r>
              <w:rPr>
                <w:rFonts w:hint="eastAsia" w:ascii="楷体" w:hAnsi="楷体" w:eastAsia="楷体" w:cs="楷体"/>
                <w:b/>
                <w:bCs/>
                <w:spacing w:val="3"/>
                <w:sz w:val="21"/>
                <w:szCs w:val="21"/>
              </w:rPr>
              <w:t>营业期限</w:t>
            </w:r>
          </w:p>
        </w:tc>
        <w:tc>
          <w:tcPr>
            <w:tcW w:w="6513" w:type="dxa"/>
          </w:tcPr>
          <w:p w14:paraId="388AE1CC">
            <w:pPr>
              <w:pStyle w:val="24"/>
              <w:spacing w:before="178" w:line="220" w:lineRule="auto"/>
              <w:ind w:left="92"/>
            </w:pPr>
            <w:r>
              <w:rPr>
                <w:rFonts w:hint="eastAsia" w:ascii="楷体" w:hAnsi="楷体" w:eastAsia="楷体" w:cs="楷体"/>
                <w:spacing w:val="8"/>
                <w:sz w:val="21"/>
                <w:szCs w:val="21"/>
              </w:rPr>
              <w:t>长期</w:t>
            </w:r>
          </w:p>
        </w:tc>
      </w:tr>
      <w:tr w14:paraId="1B72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413263F5">
            <w:pPr>
              <w:spacing w:line="306" w:lineRule="auto"/>
              <w:rPr>
                <w:rFonts w:ascii="楷体" w:hAnsi="楷体" w:eastAsia="楷体" w:cs="楷体"/>
                <w:b/>
                <w:bCs/>
                <w:szCs w:val="21"/>
              </w:rPr>
            </w:pPr>
          </w:p>
          <w:p w14:paraId="11216B24">
            <w:pPr>
              <w:pStyle w:val="24"/>
              <w:spacing w:before="82" w:line="220" w:lineRule="auto"/>
              <w:ind w:left="85"/>
            </w:pPr>
            <w:r>
              <w:rPr>
                <w:rFonts w:hint="eastAsia" w:ascii="楷体" w:hAnsi="楷体" w:eastAsia="楷体" w:cs="楷体"/>
                <w:b/>
                <w:bCs/>
                <w:spacing w:val="5"/>
                <w:sz w:val="21"/>
                <w:szCs w:val="21"/>
              </w:rPr>
              <w:t>经营范围</w:t>
            </w:r>
          </w:p>
        </w:tc>
        <w:tc>
          <w:tcPr>
            <w:tcW w:w="6513" w:type="dxa"/>
          </w:tcPr>
          <w:p w14:paraId="2393A866">
            <w:pPr>
              <w:pStyle w:val="24"/>
              <w:spacing w:before="166" w:line="305" w:lineRule="auto"/>
              <w:ind w:left="92"/>
              <w:rPr>
                <w:lang w:eastAsia="zh-CN"/>
              </w:rPr>
            </w:pPr>
            <w:r>
              <w:rPr>
                <w:rFonts w:hint="eastAsia" w:ascii="楷体" w:hAnsi="楷体" w:eastAsia="楷体" w:cs="楷体"/>
                <w:sz w:val="21"/>
                <w:szCs w:val="21"/>
                <w:lang w:eastAsia="zh-CN"/>
              </w:rPr>
              <w:t>一般项目：金属材料制造；有色金属合金制造；有色金属压延加工；常用有色金属冶炼；稀有稀土金属冶炼；有色金属铸造；金属制日用品制造；金属表面处理及热处理加工；通用设备制造（不含特种设备制造）；烘炉、熔炉及电炉制造；第一类医疗器械生产；海洋工程装备制造；海洋能系统与设备制造；电力设施器材制造；超导材料制造；铸造用造型材料生产；专用设备修理；电气设备修理；选矿；污水处理及其再生利用；进出口代理；磁性材料销售；石墨烯材料销售；金属制品销售；建筑用金属配件销售；金属材料销售；高性能有色金属及合金材料销售；3D打印基础材料销售；超导材料销售；金属基复合材料和陶瓷基复合材料销售；有色金属合金销售；海洋工程装备销售；机械设备租赁；特种设备出租；运输设备租赁服务；企业管理咨询；安全咨询服务；信息咨询服务（不含许可类信息咨询服务）；环保咨询服务；人力资源服务（不含职业中介活动、劳务派遣服务）；新材料技术研发；金属包装容器及材料制造；电力设施器材销售；技术服务、技术开发、技术咨询、技术交流、技术转让、技术推广；新材料技术推广服务；特种作业人员安全技术培训；专用设备制造（不含许可类专业设备制造）；机械电气设备制造；工业自动控制系统装置制造；对外承包工程；新型金属功能材料销售；锻件及粉末冶金制品销售；冶金专用设备制造；普通货物仓储服务（不含危险化学品等需许可审批的项目）；土地使用权租赁；非居住房地产租赁；仓储设备租赁服务；以自有资金从事投资活动；认证咨询；工程和技术研究和试验发展；货物进出口；技术进出口（除依法须经批准的项目外，凭营业执照依法自主开展经营活动）。许可项目：特种设备制造；武器装备研发、生产；民用核安全设备设计；核材料生产；民用航空器零部件设计和生产；航天设备制造；现制现售饮用水；特种设备安装改造修理；发电业务、输电业务、供（配）电业务；供电业务；住宿服务；餐饮服务；非煤矿山矿产资源开采；第二类医疗器械生产；第三类医疗器械生产；特种设备设计；特种设备检验检测；输电、供电、受电电力设施的安装、维修和试验；检验检测服务；道路货物运输（不含危险货物）（依法须经批准的项目，经相关部门批准后方可开展经营活动，具体经营项目以审批结果为准）。</w:t>
            </w:r>
          </w:p>
        </w:tc>
      </w:tr>
      <w:tr w14:paraId="7324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2E6641C2">
            <w:pPr>
              <w:pStyle w:val="24"/>
              <w:spacing w:before="166" w:line="305" w:lineRule="auto"/>
              <w:ind w:left="92"/>
            </w:pPr>
            <w:r>
              <w:rPr>
                <w:rFonts w:hint="eastAsia" w:ascii="楷体" w:hAnsi="楷体" w:eastAsia="楷体" w:cs="楷体"/>
                <w:b/>
                <w:bCs/>
                <w:sz w:val="21"/>
                <w:szCs w:val="21"/>
              </w:rPr>
              <w:t>经营状态</w:t>
            </w:r>
          </w:p>
        </w:tc>
        <w:tc>
          <w:tcPr>
            <w:tcW w:w="6513" w:type="dxa"/>
          </w:tcPr>
          <w:p w14:paraId="53D3DBF5">
            <w:pPr>
              <w:pStyle w:val="24"/>
              <w:spacing w:before="166" w:line="305" w:lineRule="auto"/>
              <w:ind w:left="92"/>
            </w:pPr>
            <w:r>
              <w:rPr>
                <w:rFonts w:hint="eastAsia" w:ascii="楷体" w:hAnsi="楷体" w:eastAsia="楷体" w:cs="楷体"/>
                <w:sz w:val="21"/>
                <w:szCs w:val="21"/>
              </w:rPr>
              <w:t>开业</w:t>
            </w:r>
          </w:p>
        </w:tc>
      </w:tr>
    </w:tbl>
    <w:p w14:paraId="7C656DAA">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根据宝钛集团的说明及现行有效的《宝钛集团有限公司章程》，并经本所律师在</w:t>
      </w:r>
      <w:r>
        <w:rPr>
          <w:rFonts w:hint="eastAsia" w:ascii="楷体" w:hAnsi="楷体" w:eastAsia="楷体" w:cs="楷体"/>
          <w:sz w:val="24"/>
          <w:szCs w:val="24"/>
          <w:lang w:eastAsia="zh-Hans"/>
        </w:rPr>
        <w:t>国家企业信用信息公示系统</w:t>
      </w:r>
      <w:r>
        <w:rPr>
          <w:rFonts w:hint="eastAsia" w:ascii="楷体" w:hAnsi="楷体" w:eastAsia="楷体" w:cs="楷体"/>
          <w:sz w:val="24"/>
          <w:szCs w:val="24"/>
        </w:rPr>
        <w:t>查询，截至本法律意见书出具日，宝钛集团依法有效存续，不存在根据法律、行政法规、部门规章及规范性文件和公司章程规定需要终止的情形。</w:t>
      </w:r>
    </w:p>
    <w:p w14:paraId="46DE470F">
      <w:pPr>
        <w:pStyle w:val="2"/>
        <w:numPr>
          <w:ilvl w:val="0"/>
          <w:numId w:val="1"/>
        </w:numPr>
        <w:spacing w:before="156" w:beforeLines="50" w:after="156" w:afterLines="50" w:line="360" w:lineRule="auto"/>
        <w:ind w:left="0" w:leftChars="0" w:firstLine="482" w:firstLineChars="200"/>
        <w:jc w:val="both"/>
        <w:rPr>
          <w:rFonts w:ascii="楷体" w:hAnsi="楷体" w:eastAsia="楷体" w:cs="楷体"/>
          <w:b/>
          <w:bCs/>
          <w:sz w:val="24"/>
          <w:szCs w:val="24"/>
        </w:rPr>
      </w:pPr>
      <w:r>
        <w:rPr>
          <w:rFonts w:hint="eastAsia" w:ascii="楷体" w:hAnsi="楷体" w:eastAsia="楷体" w:cs="楷体"/>
          <w:b/>
          <w:bCs/>
          <w:sz w:val="24"/>
          <w:szCs w:val="24"/>
        </w:rPr>
        <w:t>增持人不存在不得收购上市公司的情形</w:t>
      </w:r>
    </w:p>
    <w:p w14:paraId="5BBF9361">
      <w:pPr>
        <w:pStyle w:val="2"/>
        <w:numPr>
          <w:ilvl w:val="255"/>
          <w:numId w:val="0"/>
        </w:numPr>
        <w:spacing w:before="156" w:beforeLines="50" w:after="156" w:afterLines="50" w:line="360" w:lineRule="auto"/>
        <w:ind w:firstLine="480" w:firstLineChars="200"/>
        <w:jc w:val="both"/>
        <w:rPr>
          <w:rFonts w:ascii="楷体" w:hAnsi="楷体" w:eastAsia="楷体" w:cs="楷体"/>
          <w:sz w:val="24"/>
          <w:szCs w:val="24"/>
        </w:rPr>
      </w:pPr>
      <w:r>
        <w:rPr>
          <w:rFonts w:hint="eastAsia" w:ascii="楷体" w:hAnsi="楷体" w:eastAsia="楷体" w:cs="楷体"/>
          <w:sz w:val="24"/>
          <w:szCs w:val="24"/>
        </w:rPr>
        <w:t>根据宝钛集团的说明，并经本所律师在国家企业信用信息公示系统（https://www.gsxt.gov.cn/index.html）、中国证券监督管理委员会（以下简称“中国证监会”）网站（http://www.csrc.gov.cn/）、深圳证券交易所（以下简称“深交所”）网站（https://www.szse.cn/index/index.html）、中国执行信息公开网（http://zxgk.court.gov.cn/）、中国裁判文书网（https://wenshu.court.gov.cn/）、证券期货市场失信信息查询平台（https://neris.csrc.gov.cn/shixinchaxun/）、信用中国网站（https://www.creditchina.gov.cn/）查询，</w:t>
      </w:r>
      <w:r>
        <w:rPr>
          <w:rFonts w:ascii="楷体" w:hAnsi="楷体" w:eastAsia="楷体" w:cs="楷体"/>
          <w:sz w:val="24"/>
          <w:szCs w:val="24"/>
        </w:rPr>
        <w:t>截至本法律意见书出具日</w:t>
      </w:r>
      <w:r>
        <w:rPr>
          <w:rFonts w:hint="eastAsia" w:ascii="楷体" w:hAnsi="楷体" w:eastAsia="楷体" w:cs="楷体"/>
          <w:sz w:val="24"/>
          <w:szCs w:val="24"/>
        </w:rPr>
        <w:t>，宝钛集团</w:t>
      </w:r>
      <w:r>
        <w:rPr>
          <w:rFonts w:ascii="楷体" w:hAnsi="楷体" w:eastAsia="楷体" w:cs="楷体"/>
          <w:sz w:val="24"/>
          <w:szCs w:val="24"/>
        </w:rPr>
        <w:t>不存在《收购管理办法》第六条规定的不得</w:t>
      </w:r>
      <w:r>
        <w:rPr>
          <w:rFonts w:hint="eastAsia" w:ascii="楷体" w:hAnsi="楷体" w:eastAsia="楷体" w:cs="楷体"/>
          <w:sz w:val="24"/>
          <w:szCs w:val="24"/>
        </w:rPr>
        <w:t>收购</w:t>
      </w:r>
      <w:r>
        <w:rPr>
          <w:rFonts w:ascii="楷体" w:hAnsi="楷体" w:eastAsia="楷体" w:cs="楷体"/>
          <w:sz w:val="24"/>
          <w:szCs w:val="24"/>
        </w:rPr>
        <w:t>上市公司的以下情形</w:t>
      </w:r>
      <w:r>
        <w:rPr>
          <w:rFonts w:hint="eastAsia" w:ascii="楷体" w:hAnsi="楷体" w:eastAsia="楷体" w:cs="楷体"/>
          <w:sz w:val="24"/>
          <w:szCs w:val="24"/>
        </w:rPr>
        <w:t>：</w:t>
      </w:r>
    </w:p>
    <w:p w14:paraId="5CBB8CD5">
      <w:pPr>
        <w:pStyle w:val="2"/>
        <w:numPr>
          <w:ilvl w:val="0"/>
          <w:numId w:val="2"/>
        </w:numPr>
        <w:spacing w:before="156" w:beforeLines="50" w:after="156" w:afterLines="50" w:line="360" w:lineRule="auto"/>
        <w:ind w:left="0" w:leftChars="0" w:firstLine="425"/>
        <w:jc w:val="both"/>
        <w:rPr>
          <w:rFonts w:ascii="楷体" w:hAnsi="楷体" w:eastAsia="楷体" w:cs="楷体"/>
          <w:sz w:val="24"/>
          <w:szCs w:val="24"/>
        </w:rPr>
      </w:pPr>
      <w:r>
        <w:rPr>
          <w:rFonts w:hint="eastAsia" w:ascii="楷体" w:hAnsi="楷体" w:eastAsia="楷体" w:cs="楷体"/>
          <w:sz w:val="24"/>
          <w:szCs w:val="24"/>
        </w:rPr>
        <w:t>收购人</w:t>
      </w:r>
      <w:r>
        <w:rPr>
          <w:rFonts w:ascii="楷体" w:hAnsi="楷体" w:eastAsia="楷体" w:cs="楷体"/>
          <w:sz w:val="24"/>
          <w:szCs w:val="24"/>
        </w:rPr>
        <w:t>负有数额较大债务</w:t>
      </w:r>
      <w:r>
        <w:rPr>
          <w:rFonts w:hint="eastAsia" w:ascii="楷体" w:hAnsi="楷体" w:eastAsia="楷体" w:cs="楷体"/>
          <w:sz w:val="24"/>
          <w:szCs w:val="24"/>
        </w:rPr>
        <w:t>，</w:t>
      </w:r>
      <w:r>
        <w:rPr>
          <w:rFonts w:ascii="楷体" w:hAnsi="楷体" w:eastAsia="楷体" w:cs="楷体"/>
          <w:sz w:val="24"/>
          <w:szCs w:val="24"/>
        </w:rPr>
        <w:t>到期未清偿</w:t>
      </w:r>
      <w:r>
        <w:rPr>
          <w:rFonts w:hint="eastAsia" w:ascii="楷体" w:hAnsi="楷体" w:eastAsia="楷体" w:cs="楷体"/>
          <w:sz w:val="24"/>
          <w:szCs w:val="24"/>
        </w:rPr>
        <w:t>，</w:t>
      </w:r>
      <w:r>
        <w:rPr>
          <w:rFonts w:ascii="楷体" w:hAnsi="楷体" w:eastAsia="楷体" w:cs="楷体"/>
          <w:sz w:val="24"/>
          <w:szCs w:val="24"/>
        </w:rPr>
        <w:t>且处于持续状态</w:t>
      </w:r>
      <w:r>
        <w:rPr>
          <w:rFonts w:hint="eastAsia" w:ascii="楷体" w:hAnsi="楷体" w:eastAsia="楷体" w:cs="楷体"/>
          <w:sz w:val="24"/>
          <w:szCs w:val="24"/>
        </w:rPr>
        <w:t>；</w:t>
      </w:r>
    </w:p>
    <w:p w14:paraId="07823746">
      <w:pPr>
        <w:pStyle w:val="2"/>
        <w:numPr>
          <w:ilvl w:val="0"/>
          <w:numId w:val="2"/>
        </w:numPr>
        <w:spacing w:before="156" w:beforeLines="50" w:after="156" w:afterLines="50" w:line="360" w:lineRule="auto"/>
        <w:ind w:left="0" w:leftChars="0" w:firstLine="425"/>
        <w:jc w:val="both"/>
        <w:rPr>
          <w:rFonts w:ascii="楷体" w:hAnsi="楷体" w:eastAsia="楷体" w:cs="楷体"/>
          <w:sz w:val="24"/>
          <w:szCs w:val="24"/>
        </w:rPr>
      </w:pPr>
      <w:r>
        <w:rPr>
          <w:rFonts w:hint="eastAsia" w:ascii="楷体" w:hAnsi="楷体" w:eastAsia="楷体" w:cs="楷体"/>
          <w:sz w:val="24"/>
          <w:szCs w:val="24"/>
        </w:rPr>
        <w:t>收购人</w:t>
      </w:r>
      <w:r>
        <w:rPr>
          <w:rFonts w:ascii="楷体" w:hAnsi="楷体" w:eastAsia="楷体" w:cs="楷体"/>
          <w:sz w:val="24"/>
          <w:szCs w:val="24"/>
        </w:rPr>
        <w:t>最近3年有重大违法行为或者涉嫌有重大违法行为</w:t>
      </w:r>
      <w:r>
        <w:rPr>
          <w:rFonts w:hint="eastAsia" w:ascii="楷体" w:hAnsi="楷体" w:eastAsia="楷体" w:cs="楷体"/>
          <w:sz w:val="24"/>
          <w:szCs w:val="24"/>
        </w:rPr>
        <w:t>；</w:t>
      </w:r>
    </w:p>
    <w:p w14:paraId="0A4B83E2">
      <w:pPr>
        <w:pStyle w:val="2"/>
        <w:numPr>
          <w:ilvl w:val="0"/>
          <w:numId w:val="2"/>
        </w:numPr>
        <w:spacing w:before="156" w:beforeLines="50" w:after="156" w:afterLines="50" w:line="360" w:lineRule="auto"/>
        <w:ind w:left="0" w:leftChars="0" w:firstLine="425"/>
        <w:jc w:val="both"/>
        <w:rPr>
          <w:rFonts w:ascii="楷体" w:hAnsi="楷体" w:eastAsia="楷体" w:cs="楷体"/>
          <w:sz w:val="24"/>
          <w:szCs w:val="24"/>
        </w:rPr>
      </w:pPr>
      <w:r>
        <w:rPr>
          <w:rFonts w:hint="eastAsia" w:ascii="楷体" w:hAnsi="楷体" w:eastAsia="楷体" w:cs="楷体"/>
          <w:sz w:val="24"/>
          <w:szCs w:val="24"/>
        </w:rPr>
        <w:t>收购人</w:t>
      </w:r>
      <w:r>
        <w:rPr>
          <w:rFonts w:ascii="楷体" w:hAnsi="楷体" w:eastAsia="楷体" w:cs="楷体"/>
          <w:sz w:val="24"/>
          <w:szCs w:val="24"/>
        </w:rPr>
        <w:t>最近3年有严重的证券市场失信行为</w:t>
      </w:r>
      <w:r>
        <w:rPr>
          <w:rFonts w:hint="eastAsia" w:ascii="楷体" w:hAnsi="楷体" w:eastAsia="楷体" w:cs="楷体"/>
          <w:sz w:val="24"/>
          <w:szCs w:val="24"/>
        </w:rPr>
        <w:t>；</w:t>
      </w:r>
    </w:p>
    <w:p w14:paraId="441A96EA">
      <w:pPr>
        <w:pStyle w:val="2"/>
        <w:numPr>
          <w:ilvl w:val="0"/>
          <w:numId w:val="2"/>
        </w:numPr>
        <w:spacing w:before="156" w:beforeLines="50" w:after="156" w:afterLines="50" w:line="360" w:lineRule="auto"/>
        <w:ind w:left="0" w:leftChars="0" w:firstLine="425"/>
        <w:jc w:val="both"/>
        <w:rPr>
          <w:rFonts w:ascii="楷体" w:hAnsi="楷体" w:eastAsia="楷体" w:cs="楷体"/>
          <w:sz w:val="24"/>
          <w:szCs w:val="24"/>
        </w:rPr>
      </w:pPr>
      <w:r>
        <w:rPr>
          <w:rFonts w:ascii="楷体" w:hAnsi="楷体" w:eastAsia="楷体" w:cs="楷体"/>
          <w:sz w:val="24"/>
          <w:szCs w:val="24"/>
        </w:rPr>
        <w:t>法律、行政法规规定以及中国证监会认定的不得收购上市公司的其他情形</w:t>
      </w:r>
      <w:r>
        <w:rPr>
          <w:rFonts w:hint="eastAsia" w:ascii="楷体" w:hAnsi="楷体" w:eastAsia="楷体" w:cs="楷体"/>
          <w:sz w:val="24"/>
          <w:szCs w:val="24"/>
        </w:rPr>
        <w:t>。</w:t>
      </w:r>
    </w:p>
    <w:p w14:paraId="5E2E5056">
      <w:pPr>
        <w:pStyle w:val="2"/>
        <w:numPr>
          <w:ilvl w:val="255"/>
          <w:numId w:val="0"/>
        </w:numPr>
        <w:spacing w:before="156" w:beforeLines="50" w:after="156" w:afterLines="50" w:line="360" w:lineRule="auto"/>
        <w:ind w:firstLine="480" w:firstLineChars="200"/>
        <w:jc w:val="both"/>
        <w:rPr>
          <w:rFonts w:ascii="楷体" w:hAnsi="楷体" w:eastAsia="楷体" w:cs="楷体"/>
          <w:sz w:val="24"/>
          <w:szCs w:val="24"/>
        </w:rPr>
      </w:pPr>
      <w:r>
        <w:rPr>
          <w:rFonts w:ascii="楷体" w:hAnsi="楷体" w:eastAsia="楷体" w:cs="楷体"/>
          <w:sz w:val="24"/>
          <w:szCs w:val="24"/>
        </w:rPr>
        <w:t>综上</w:t>
      </w:r>
      <w:r>
        <w:rPr>
          <w:rFonts w:hint="eastAsia" w:ascii="楷体" w:hAnsi="楷体" w:eastAsia="楷体" w:cs="楷体"/>
          <w:sz w:val="24"/>
          <w:szCs w:val="24"/>
        </w:rPr>
        <w:t>，</w:t>
      </w:r>
      <w:r>
        <w:rPr>
          <w:rFonts w:ascii="楷体" w:hAnsi="楷体" w:eastAsia="楷体" w:cs="楷体"/>
          <w:sz w:val="24"/>
          <w:szCs w:val="24"/>
        </w:rPr>
        <w:t>本所律师经核查后认为</w:t>
      </w:r>
      <w:r>
        <w:rPr>
          <w:rFonts w:hint="eastAsia" w:ascii="楷体" w:hAnsi="楷体" w:eastAsia="楷体" w:cs="楷体"/>
          <w:sz w:val="24"/>
          <w:szCs w:val="24"/>
        </w:rPr>
        <w:t>：截至本法律意见书出具日，宝钛集团为</w:t>
      </w:r>
      <w:r>
        <w:rPr>
          <w:rFonts w:ascii="楷体" w:hAnsi="楷体" w:eastAsia="楷体" w:cs="楷体"/>
          <w:sz w:val="24"/>
          <w:szCs w:val="24"/>
        </w:rPr>
        <w:t>有效存续的有限责任公司</w:t>
      </w:r>
      <w:r>
        <w:rPr>
          <w:rFonts w:hint="eastAsia" w:ascii="楷体" w:hAnsi="楷体" w:eastAsia="楷体" w:cs="楷体"/>
          <w:sz w:val="24"/>
          <w:szCs w:val="24"/>
        </w:rPr>
        <w:t>，</w:t>
      </w:r>
      <w:r>
        <w:rPr>
          <w:rFonts w:ascii="楷体" w:hAnsi="楷体" w:eastAsia="楷体" w:cs="楷体"/>
          <w:sz w:val="24"/>
          <w:szCs w:val="24"/>
        </w:rPr>
        <w:t>不存在根据法律、行政法规、部门规章及规范性文件和公司章程规定需要终止的情形</w:t>
      </w:r>
      <w:r>
        <w:rPr>
          <w:rFonts w:hint="eastAsia" w:ascii="楷体" w:hAnsi="楷体" w:eastAsia="楷体" w:cs="楷体"/>
          <w:sz w:val="24"/>
          <w:szCs w:val="24"/>
        </w:rPr>
        <w:t>，</w:t>
      </w:r>
      <w:r>
        <w:rPr>
          <w:rFonts w:ascii="楷体" w:hAnsi="楷体" w:eastAsia="楷体" w:cs="楷体"/>
          <w:sz w:val="24"/>
          <w:szCs w:val="24"/>
        </w:rPr>
        <w:t>不存在《</w:t>
      </w:r>
      <w:r>
        <w:rPr>
          <w:rFonts w:hint="eastAsia" w:ascii="楷体" w:hAnsi="楷体" w:eastAsia="楷体" w:cs="楷体"/>
          <w:sz w:val="24"/>
          <w:szCs w:val="24"/>
        </w:rPr>
        <w:t>收购管理办法》第六条规定的不得收购上市公司的情形，具备实施本次增持的主体资格。</w:t>
      </w:r>
    </w:p>
    <w:p w14:paraId="0A218467">
      <w:pPr>
        <w:numPr>
          <w:ilvl w:val="0"/>
          <w:numId w:val="3"/>
        </w:numPr>
        <w:spacing w:before="156" w:beforeLines="50" w:after="156" w:afterLines="50" w:line="360" w:lineRule="auto"/>
        <w:ind w:firstLine="482" w:firstLineChars="200"/>
        <w:outlineLvl w:val="0"/>
        <w:rPr>
          <w:rFonts w:ascii="楷体" w:hAnsi="楷体" w:eastAsia="楷体" w:cs="楷体"/>
          <w:b/>
          <w:bCs/>
          <w:sz w:val="24"/>
          <w:szCs w:val="24"/>
        </w:rPr>
      </w:pPr>
      <w:r>
        <w:rPr>
          <w:rFonts w:hint="eastAsia" w:ascii="楷体" w:hAnsi="楷体" w:eastAsia="楷体" w:cs="楷体"/>
          <w:b/>
          <w:bCs/>
          <w:sz w:val="24"/>
          <w:szCs w:val="24"/>
        </w:rPr>
        <w:t>本次增持股份的情况</w:t>
      </w:r>
    </w:p>
    <w:p w14:paraId="09E3B7CA">
      <w:pPr>
        <w:numPr>
          <w:ilvl w:val="0"/>
          <w:numId w:val="4"/>
        </w:numPr>
        <w:spacing w:before="156" w:beforeLines="50" w:after="156" w:afterLines="50" w:line="360" w:lineRule="auto"/>
        <w:ind w:firstLine="482" w:firstLineChars="200"/>
        <w:outlineLvl w:val="1"/>
        <w:rPr>
          <w:rFonts w:ascii="楷体" w:hAnsi="楷体" w:eastAsia="楷体" w:cs="楷体"/>
          <w:b/>
          <w:bCs/>
          <w:sz w:val="24"/>
          <w:szCs w:val="24"/>
        </w:rPr>
      </w:pPr>
      <w:r>
        <w:rPr>
          <w:rFonts w:hint="eastAsia" w:ascii="楷体" w:hAnsi="楷体" w:eastAsia="楷体" w:cs="楷体"/>
          <w:b/>
          <w:bCs/>
          <w:sz w:val="24"/>
          <w:szCs w:val="24"/>
        </w:rPr>
        <w:t>本次增持前增持人的持股情况</w:t>
      </w:r>
    </w:p>
    <w:p w14:paraId="769FF9FD">
      <w:pPr>
        <w:numPr>
          <w:ilvl w:val="255"/>
          <w:numId w:val="0"/>
        </w:num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根据宝钛集团提供的资料，并经本所律师核查，本次增持前（即截至2025年4月10日），宝色股份总股本为246,790,497股，宝钛集团持有公司股份116,200,000股，占此时宝色股份总股本的47.08%，宝钛集团为宝色股份的控股股东。</w:t>
      </w:r>
    </w:p>
    <w:p w14:paraId="34928279">
      <w:pPr>
        <w:numPr>
          <w:ilvl w:val="0"/>
          <w:numId w:val="4"/>
        </w:numPr>
        <w:spacing w:before="156" w:beforeLines="50" w:after="156" w:afterLines="50" w:line="360" w:lineRule="auto"/>
        <w:ind w:firstLine="482" w:firstLineChars="200"/>
        <w:outlineLvl w:val="1"/>
        <w:rPr>
          <w:rFonts w:ascii="楷体" w:hAnsi="楷体" w:eastAsia="楷体" w:cs="楷体"/>
          <w:b/>
          <w:bCs/>
          <w:sz w:val="24"/>
          <w:szCs w:val="24"/>
        </w:rPr>
      </w:pPr>
      <w:r>
        <w:rPr>
          <w:rFonts w:hint="eastAsia" w:ascii="楷体" w:hAnsi="楷体" w:eastAsia="楷体" w:cs="楷体"/>
          <w:b/>
          <w:bCs/>
          <w:sz w:val="24"/>
          <w:szCs w:val="24"/>
        </w:rPr>
        <w:t>本次增持计划</w:t>
      </w:r>
    </w:p>
    <w:p w14:paraId="0FD4459C">
      <w:pPr>
        <w:numPr>
          <w:ilvl w:val="255"/>
          <w:numId w:val="0"/>
        </w:num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根据宝色股份于2025年4月10日在深交所网站发布的《南京宝色股份公司关于控股股东增持公司股份计划的公告》（公告编号：2025-023），本次增持计划的主要内容为：</w:t>
      </w:r>
    </w:p>
    <w:p w14:paraId="5E496650">
      <w:pPr>
        <w:numPr>
          <w:ilvl w:val="0"/>
          <w:numId w:val="5"/>
        </w:numPr>
        <w:spacing w:before="156" w:beforeLines="50" w:after="156" w:afterLines="50" w:line="360" w:lineRule="auto"/>
        <w:ind w:left="0" w:firstLine="425"/>
        <w:rPr>
          <w:rFonts w:ascii="楷体" w:hAnsi="楷体" w:eastAsia="楷体" w:cs="楷体"/>
          <w:sz w:val="24"/>
          <w:szCs w:val="24"/>
        </w:rPr>
      </w:pPr>
      <w:r>
        <w:rPr>
          <w:rFonts w:hint="eastAsia" w:ascii="楷体" w:hAnsi="楷体" w:eastAsia="楷体" w:cs="楷体"/>
          <w:sz w:val="24"/>
          <w:szCs w:val="24"/>
        </w:rPr>
        <w:t>本次拟增持股份的目的：基于公司长期投资价值的认可，以及未来持续稳定发展的信心。</w:t>
      </w:r>
    </w:p>
    <w:p w14:paraId="3117C3D9">
      <w:pPr>
        <w:numPr>
          <w:ilvl w:val="0"/>
          <w:numId w:val="5"/>
        </w:numPr>
        <w:spacing w:before="156" w:beforeLines="50" w:after="156" w:afterLines="50" w:line="360" w:lineRule="auto"/>
        <w:ind w:left="0" w:firstLine="425"/>
        <w:rPr>
          <w:rFonts w:ascii="楷体" w:hAnsi="楷体" w:eastAsia="楷体" w:cs="楷体"/>
          <w:sz w:val="24"/>
          <w:szCs w:val="24"/>
        </w:rPr>
      </w:pPr>
      <w:r>
        <w:rPr>
          <w:rFonts w:hint="eastAsia" w:ascii="楷体" w:hAnsi="楷体" w:eastAsia="楷体" w:cs="楷体"/>
          <w:sz w:val="24"/>
          <w:szCs w:val="24"/>
        </w:rPr>
        <w:t>本次拟增持股份的金额：累计增持金额不低于人民币5,000万元且不超过人民币10,000万元，累计增持比例不超过公司总股本的2%。</w:t>
      </w:r>
    </w:p>
    <w:p w14:paraId="06F7A568">
      <w:pPr>
        <w:numPr>
          <w:ilvl w:val="0"/>
          <w:numId w:val="5"/>
        </w:numPr>
        <w:spacing w:before="156" w:beforeLines="50" w:after="156" w:afterLines="50" w:line="360" w:lineRule="auto"/>
        <w:ind w:left="0" w:firstLine="425"/>
        <w:rPr>
          <w:rFonts w:ascii="楷体" w:hAnsi="楷体" w:eastAsia="楷体" w:cs="楷体"/>
          <w:sz w:val="24"/>
          <w:szCs w:val="24"/>
        </w:rPr>
      </w:pPr>
      <w:r>
        <w:rPr>
          <w:rFonts w:hint="eastAsia" w:ascii="楷体" w:hAnsi="楷体" w:eastAsia="楷体" w:cs="楷体"/>
          <w:sz w:val="24"/>
          <w:szCs w:val="24"/>
        </w:rPr>
        <w:t>本次拟增持股份的价格：本次增持计划未设定价格区间，宝钛集团将基于对公司股票的内在价值、市场价格走势等因素实施增持计划。</w:t>
      </w:r>
    </w:p>
    <w:p w14:paraId="219D5E37">
      <w:pPr>
        <w:numPr>
          <w:ilvl w:val="0"/>
          <w:numId w:val="5"/>
        </w:numPr>
        <w:spacing w:before="156" w:beforeLines="50" w:after="156" w:afterLines="50" w:line="360" w:lineRule="auto"/>
        <w:ind w:left="0" w:firstLine="425"/>
        <w:rPr>
          <w:rFonts w:ascii="楷体" w:hAnsi="楷体" w:eastAsia="楷体" w:cs="楷体"/>
          <w:sz w:val="24"/>
          <w:szCs w:val="24"/>
        </w:rPr>
      </w:pPr>
      <w:r>
        <w:rPr>
          <w:rFonts w:hint="eastAsia" w:ascii="楷体" w:hAnsi="楷体" w:eastAsia="楷体" w:cs="楷体"/>
          <w:sz w:val="24"/>
          <w:szCs w:val="24"/>
        </w:rPr>
        <w:t>本次增持计划的实施期限：自本公告披露之日起不超过6个月。增持计划实施期间，若遇公司股票停牌，增持计划将在股票复牌后顺延实施。</w:t>
      </w:r>
    </w:p>
    <w:p w14:paraId="32E667FA">
      <w:pPr>
        <w:numPr>
          <w:ilvl w:val="0"/>
          <w:numId w:val="5"/>
        </w:numPr>
        <w:spacing w:before="156" w:beforeLines="50" w:after="156" w:afterLines="50" w:line="360" w:lineRule="auto"/>
        <w:ind w:left="0" w:firstLine="425"/>
        <w:rPr>
          <w:rFonts w:ascii="楷体" w:hAnsi="楷体" w:eastAsia="楷体" w:cs="楷体"/>
          <w:sz w:val="24"/>
          <w:szCs w:val="24"/>
        </w:rPr>
      </w:pPr>
      <w:r>
        <w:rPr>
          <w:rFonts w:hint="eastAsia" w:ascii="楷体" w:hAnsi="楷体" w:eastAsia="楷体" w:cs="楷体"/>
          <w:sz w:val="24"/>
          <w:szCs w:val="24"/>
        </w:rPr>
        <w:t>本次拟增持股份的方式：通过深交所以集中竞价交易方式进行。</w:t>
      </w:r>
    </w:p>
    <w:p w14:paraId="77DCA3CE">
      <w:pPr>
        <w:numPr>
          <w:ilvl w:val="0"/>
          <w:numId w:val="5"/>
        </w:numPr>
        <w:spacing w:before="156" w:beforeLines="50" w:after="156" w:afterLines="50" w:line="360" w:lineRule="auto"/>
        <w:ind w:left="0" w:firstLine="425"/>
        <w:rPr>
          <w:rFonts w:ascii="楷体" w:hAnsi="楷体" w:eastAsia="楷体" w:cs="楷体"/>
          <w:sz w:val="24"/>
          <w:szCs w:val="24"/>
        </w:rPr>
      </w:pPr>
      <w:r>
        <w:rPr>
          <w:rFonts w:hint="eastAsia" w:ascii="楷体" w:hAnsi="楷体" w:eastAsia="楷体" w:cs="楷体"/>
          <w:sz w:val="24"/>
          <w:szCs w:val="24"/>
        </w:rPr>
        <w:t>本次增持股份的资金来源：宝钛集团自有资金与交通银行股份有限公司宝鸡分行提供的股票增持专项贷款相结合的方式。</w:t>
      </w:r>
    </w:p>
    <w:p w14:paraId="60E3FC09">
      <w:pPr>
        <w:numPr>
          <w:ilvl w:val="0"/>
          <w:numId w:val="5"/>
        </w:numPr>
        <w:spacing w:before="156" w:beforeLines="50" w:after="156" w:afterLines="50" w:line="360" w:lineRule="auto"/>
        <w:ind w:left="0" w:firstLine="425"/>
        <w:rPr>
          <w:rFonts w:ascii="楷体" w:hAnsi="楷体" w:eastAsia="楷体" w:cs="楷体"/>
          <w:sz w:val="24"/>
          <w:szCs w:val="24"/>
        </w:rPr>
      </w:pPr>
      <w:r>
        <w:rPr>
          <w:rFonts w:hint="eastAsia" w:ascii="楷体" w:hAnsi="楷体" w:eastAsia="楷体" w:cs="楷体"/>
          <w:sz w:val="24"/>
          <w:szCs w:val="24"/>
        </w:rPr>
        <w:t>增持主体相关承诺：宝钛集团承诺自公司本公告披露之日起6个月内完成增持计划，并在本次增持计划实施期间及法定期限内不减持所持有的公司股票。</w:t>
      </w:r>
    </w:p>
    <w:p w14:paraId="4580A52E">
      <w:pPr>
        <w:numPr>
          <w:ilvl w:val="0"/>
          <w:numId w:val="4"/>
        </w:numPr>
        <w:spacing w:before="156" w:beforeLines="50" w:after="156" w:afterLines="50" w:line="360" w:lineRule="auto"/>
        <w:ind w:firstLine="482" w:firstLineChars="200"/>
        <w:outlineLvl w:val="1"/>
        <w:rPr>
          <w:rFonts w:ascii="楷体" w:hAnsi="楷体" w:eastAsia="楷体" w:cs="楷体"/>
          <w:b/>
          <w:bCs/>
          <w:sz w:val="24"/>
          <w:szCs w:val="24"/>
        </w:rPr>
      </w:pPr>
      <w:r>
        <w:rPr>
          <w:rFonts w:hint="eastAsia" w:ascii="楷体" w:hAnsi="楷体" w:eastAsia="楷体" w:cs="楷体"/>
          <w:b/>
          <w:bCs/>
          <w:sz w:val="24"/>
          <w:szCs w:val="24"/>
        </w:rPr>
        <w:t>本次增持的实施情况</w:t>
      </w:r>
    </w:p>
    <w:p w14:paraId="589BDABF">
      <w:pPr>
        <w:numPr>
          <w:ilvl w:val="255"/>
          <w:numId w:val="0"/>
        </w:num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根据宝钛集团提供的交易明细单、宝钛集团于2025年</w:t>
      </w:r>
      <w:r>
        <w:rPr>
          <w:rFonts w:hint="eastAsia" w:ascii="楷体" w:hAnsi="楷体" w:eastAsia="楷体" w:cs="楷体"/>
          <w:sz w:val="24"/>
          <w:szCs w:val="24"/>
          <w:lang w:val="en-US" w:eastAsia="zh-CN"/>
        </w:rPr>
        <w:t>10</w:t>
      </w:r>
      <w:r>
        <w:rPr>
          <w:rFonts w:hint="eastAsia" w:ascii="楷体" w:hAnsi="楷体" w:eastAsia="楷体" w:cs="楷体"/>
          <w:sz w:val="24"/>
          <w:szCs w:val="24"/>
        </w:rPr>
        <w:t>月</w:t>
      </w:r>
      <w:r>
        <w:rPr>
          <w:rFonts w:hint="eastAsia" w:ascii="楷体" w:hAnsi="楷体" w:eastAsia="楷体" w:cs="楷体"/>
          <w:sz w:val="24"/>
          <w:szCs w:val="24"/>
          <w:lang w:val="en-US" w:eastAsia="zh-CN"/>
        </w:rPr>
        <w:t>9</w:t>
      </w:r>
      <w:r>
        <w:rPr>
          <w:rFonts w:hint="eastAsia" w:ascii="楷体" w:hAnsi="楷体" w:eastAsia="楷体" w:cs="楷体"/>
          <w:sz w:val="24"/>
          <w:szCs w:val="24"/>
        </w:rPr>
        <w:t>日向宝色股份出具的《宝钛集团有限公司关于增持南京宝色股份公司股份计划实施完毕的告知函》及宝钛集团的说明，截至2025年10月9日，本次增持计划实施完毕，宝钛集团自2025年4月10日至</w:t>
      </w:r>
      <w:r>
        <w:rPr>
          <w:rFonts w:hint="eastAsia" w:ascii="楷体" w:hAnsi="楷体" w:eastAsia="楷体" w:cs="楷体"/>
          <w:sz w:val="24"/>
          <w:szCs w:val="24"/>
          <w:lang w:val="en-US" w:eastAsia="zh-CN"/>
        </w:rPr>
        <w:t>2025年</w:t>
      </w:r>
      <w:r>
        <w:rPr>
          <w:rFonts w:hint="eastAsia" w:ascii="楷体" w:hAnsi="楷体" w:eastAsia="楷体" w:cs="楷体"/>
          <w:sz w:val="24"/>
          <w:szCs w:val="24"/>
        </w:rPr>
        <w:t>10月9日期间通过深交所系统</w:t>
      </w:r>
      <w:r>
        <w:rPr>
          <w:rFonts w:hint="eastAsia" w:ascii="楷体" w:hAnsi="楷体" w:eastAsia="楷体" w:cs="楷体"/>
          <w:sz w:val="24"/>
          <w:szCs w:val="24"/>
          <w:lang w:eastAsia="zh-CN"/>
        </w:rPr>
        <w:t>，</w:t>
      </w:r>
      <w:r>
        <w:rPr>
          <w:rFonts w:hint="eastAsia" w:ascii="楷体" w:hAnsi="楷体" w:eastAsia="楷体" w:cs="楷体"/>
          <w:sz w:val="24"/>
          <w:szCs w:val="24"/>
        </w:rPr>
        <w:t>以集中竞价方式增持宝色股份3,515,300股，占宝色股份总股本的1.42%，累计增持金额62,951,797.00元（不含交易费用），本次增持计划实施完毕。截至2025年10月9日，宝钛集团持有宝色股份119,715,300股，占总股本的48.51%。</w:t>
      </w:r>
    </w:p>
    <w:p w14:paraId="44814243">
      <w:pPr>
        <w:numPr>
          <w:ilvl w:val="255"/>
          <w:numId w:val="0"/>
        </w:num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综上，本所律师经核查后认为：宝钛集团</w:t>
      </w:r>
      <w:r>
        <w:rPr>
          <w:rFonts w:hint="eastAsia" w:ascii="楷体" w:hAnsi="楷体" w:eastAsia="楷体" w:cs="楷体"/>
          <w:sz w:val="24"/>
          <w:szCs w:val="24"/>
          <w:lang w:val="en-US" w:eastAsia="zh-CN"/>
        </w:rPr>
        <w:t>本次</w:t>
      </w:r>
      <w:r>
        <w:rPr>
          <w:rFonts w:hint="eastAsia" w:ascii="楷体" w:hAnsi="楷体" w:eastAsia="楷体" w:cs="楷体"/>
          <w:sz w:val="24"/>
          <w:szCs w:val="24"/>
        </w:rPr>
        <w:t>增持行为符合《证券法》《收购管理办法》等相关法律、行政法规、部门规章及规范性文件的规定。</w:t>
      </w:r>
    </w:p>
    <w:p w14:paraId="4C7C7B2F">
      <w:pPr>
        <w:spacing w:before="156" w:beforeLines="50" w:after="156" w:afterLines="50" w:line="360" w:lineRule="auto"/>
        <w:ind w:firstLine="482" w:firstLineChars="200"/>
        <w:outlineLvl w:val="0"/>
        <w:rPr>
          <w:rFonts w:ascii="楷体" w:hAnsi="楷体" w:eastAsia="楷体" w:cs="楷体"/>
          <w:b/>
          <w:bCs/>
          <w:sz w:val="24"/>
          <w:szCs w:val="24"/>
        </w:rPr>
      </w:pPr>
      <w:r>
        <w:rPr>
          <w:rFonts w:hint="eastAsia" w:ascii="楷体" w:hAnsi="楷体" w:eastAsia="楷体" w:cs="楷体"/>
          <w:b/>
          <w:bCs/>
          <w:sz w:val="24"/>
          <w:szCs w:val="24"/>
        </w:rPr>
        <w:t>三、本次增持符合《收购管理办法》规定的可免于发出要约的情形</w:t>
      </w:r>
    </w:p>
    <w:p w14:paraId="02082CEE">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根据《收购管理办法》第六十一条、第六十三条第一款第（四）项的规定，在一个上市公司中拥有权益的股份达到或者超过该公司已发行股份的30%的，自上述事实发生之日起一年后，每12个月内增持不超过该公司已发行的2%的股份，投资者可以免于发出要约。</w:t>
      </w:r>
    </w:p>
    <w:p w14:paraId="77623E91">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经本所律师核查，本次增持前，宝钛集团持有宝色股份116,200,000股股份，占当时公司总股本（246,790,497股）的47.08%，且宝钛集团持有公司股份超过公司已发行股份总数的30%的事实已持续超过一年。增持人宝钛集团在本次增持期间累计增持宝色股份3,515,300股，占宝色股份目前总股本（246,790,497股）的1.42%，累计增持比例未超过公司已发行股份总数的2%。</w:t>
      </w:r>
    </w:p>
    <w:p w14:paraId="080A957B">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综上，本所律师经核查后认为：本次增持符合《收购管理办法》规定的可免于发出要约的情形。</w:t>
      </w:r>
    </w:p>
    <w:p w14:paraId="02668B94">
      <w:pPr>
        <w:spacing w:before="156" w:beforeLines="50" w:after="156" w:afterLines="50" w:line="360" w:lineRule="auto"/>
        <w:ind w:firstLine="241" w:firstLineChars="100"/>
        <w:outlineLvl w:val="0"/>
        <w:rPr>
          <w:rFonts w:ascii="楷体" w:hAnsi="楷体" w:eastAsia="楷体" w:cs="楷体"/>
          <w:b/>
          <w:bCs/>
          <w:sz w:val="24"/>
          <w:szCs w:val="24"/>
        </w:rPr>
      </w:pPr>
      <w:r>
        <w:rPr>
          <w:rFonts w:hint="eastAsia" w:ascii="楷体" w:hAnsi="楷体" w:eastAsia="楷体" w:cs="楷体"/>
          <w:b/>
          <w:bCs/>
          <w:sz w:val="24"/>
          <w:szCs w:val="24"/>
        </w:rPr>
        <w:t>四、本次增持的信息披露</w:t>
      </w:r>
    </w:p>
    <w:p w14:paraId="464F7277">
      <w:pPr>
        <w:numPr>
          <w:ilvl w:val="255"/>
          <w:numId w:val="0"/>
        </w:num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根据宝钛集团提供的资料及宝色股份已披露的相关公告，宝色股份已就本次增持履行了以下信息披露义务：</w:t>
      </w:r>
    </w:p>
    <w:p w14:paraId="4356BF7D">
      <w:pPr>
        <w:numPr>
          <w:ilvl w:val="0"/>
          <w:numId w:val="6"/>
        </w:num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2025年4月10日，宝色股份</w:t>
      </w:r>
      <w:bookmarkStart w:id="7" w:name="OLE_LINK8"/>
      <w:r>
        <w:rPr>
          <w:rFonts w:hint="eastAsia" w:ascii="楷体" w:hAnsi="楷体" w:eastAsia="楷体" w:cs="楷体"/>
          <w:sz w:val="24"/>
          <w:szCs w:val="24"/>
        </w:rPr>
        <w:t>发布</w:t>
      </w:r>
      <w:bookmarkEnd w:id="7"/>
      <w:r>
        <w:rPr>
          <w:rFonts w:hint="eastAsia" w:ascii="楷体" w:hAnsi="楷体" w:eastAsia="楷体" w:cs="楷体"/>
          <w:sz w:val="24"/>
          <w:szCs w:val="24"/>
        </w:rPr>
        <w:t>《南京宝色股份公司关于控股股东增持公司股份计划的公告》（公告编号：2025-023），披露了宝钛集团本次增持计划。</w:t>
      </w:r>
    </w:p>
    <w:p w14:paraId="573ECD03">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2.2025年4月14日，宝色股份</w:t>
      </w:r>
      <w:r>
        <w:rPr>
          <w:rFonts w:hint="eastAsia" w:ascii="楷体" w:hAnsi="楷体" w:eastAsia="楷体" w:cs="楷体"/>
          <w:sz w:val="24"/>
          <w:szCs w:val="24"/>
          <w:lang w:val="en-US" w:eastAsia="zh-CN"/>
        </w:rPr>
        <w:t>发布</w:t>
      </w:r>
      <w:r>
        <w:rPr>
          <w:rFonts w:hint="eastAsia" w:ascii="楷体" w:hAnsi="楷体" w:eastAsia="楷体" w:cs="楷体"/>
          <w:sz w:val="24"/>
          <w:szCs w:val="24"/>
        </w:rPr>
        <w:t>《南京宝色股份公司关于控股股东增持公司股份获得专项贷款承诺函的公告》（公告编号：2025-024），披露了宝钛集团本次增持贷款情况。</w:t>
      </w:r>
    </w:p>
    <w:p w14:paraId="6F8990B3">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3.2025年7月11日，</w:t>
      </w:r>
      <w:bookmarkStart w:id="8" w:name="OLE_LINK9"/>
      <w:r>
        <w:rPr>
          <w:rFonts w:hint="eastAsia" w:ascii="楷体" w:hAnsi="楷体" w:eastAsia="楷体" w:cs="楷体"/>
          <w:sz w:val="24"/>
          <w:szCs w:val="24"/>
        </w:rPr>
        <w:t>宝色股份发布</w:t>
      </w:r>
      <w:bookmarkEnd w:id="8"/>
      <w:r>
        <w:rPr>
          <w:rFonts w:hint="eastAsia" w:ascii="楷体" w:hAnsi="楷体" w:eastAsia="楷体" w:cs="楷体"/>
          <w:sz w:val="24"/>
          <w:szCs w:val="24"/>
        </w:rPr>
        <w:t>《南京宝色股份公司关于控股股东增持股份计划实施期限过半的进展公告》（公告编号：2025-036），披露了本次增持计划的实施进展情况。根据该公告的记载，截至2025年7月10日，本次增持计划实施期限已过半。宝钛集团于2025年4月10日至2025年7月10日期间，通过深交所交易系统以集中竞价方式累计增持公司股份1,550,900股，占公司总股本的0.63%，累计增持金额为27,697,457.00元（不含交易费用）。截至该公告披露之日（2025年7月11日），宝钛集团持有公司股份117,750,900股，占公司总股本的47.71%。</w:t>
      </w:r>
    </w:p>
    <w:p w14:paraId="63D13A20">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4.2025年9月4日，宝色股份发布《南京宝色股份公司关于控股股东增持公司股份触及1%整数倍暨增持计划实施的进展公告》（公告编号：2025-051），披露了本次增持计划的实施进展情况。根据该公告的记载，自宝钛集团本次增持计划公告至2025年9月4日，即2025年4月10日—2025年9月4日期间，宝钛集团通过深交所交易系统以集中竞价方式累计增持公司股份2,468,000股，占公司总股本的1.00%，累计增持金额为44,172,165.00元（不含交易费用）。截至该公告披露之日（2025年9月4日），宝钛集团持有公司股份118,668,000股，占公司总股本的48.08%。</w:t>
      </w:r>
    </w:p>
    <w:p w14:paraId="209CA305">
      <w:pPr>
        <w:numPr>
          <w:ilvl w:val="255"/>
          <w:numId w:val="0"/>
        </w:num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5.宝色股份拟于2025年10月10日</w:t>
      </w:r>
      <w:r>
        <w:rPr>
          <w:rFonts w:hint="eastAsia" w:ascii="楷体" w:hAnsi="楷体" w:eastAsia="楷体" w:cs="楷体"/>
          <w:sz w:val="24"/>
          <w:szCs w:val="24"/>
          <w:lang w:val="en-US" w:eastAsia="zh-CN"/>
        </w:rPr>
        <w:t>发布《</w:t>
      </w:r>
      <w:r>
        <w:rPr>
          <w:rFonts w:hint="eastAsia" w:ascii="楷体" w:hAnsi="楷体" w:eastAsia="楷体" w:cs="楷体"/>
          <w:sz w:val="24"/>
          <w:szCs w:val="24"/>
        </w:rPr>
        <w:t>南京宝色股份公司</w:t>
      </w:r>
      <w:r>
        <w:rPr>
          <w:rFonts w:hint="eastAsia" w:ascii="楷体" w:hAnsi="楷体" w:eastAsia="楷体" w:cs="楷体"/>
          <w:sz w:val="24"/>
          <w:szCs w:val="24"/>
          <w:lang w:val="en-US" w:eastAsia="zh-CN"/>
        </w:rPr>
        <w:t>关于控股股东增持公司股份计划期限届满暨实施完成的公告》（公告编号：2025-058），</w:t>
      </w:r>
      <w:r>
        <w:rPr>
          <w:rFonts w:hint="eastAsia" w:ascii="楷体" w:hAnsi="楷体" w:eastAsia="楷体" w:cs="楷体"/>
          <w:sz w:val="24"/>
          <w:szCs w:val="24"/>
        </w:rPr>
        <w:t>就宝钛集团本次增持实施完毕的结果进行披露。</w:t>
      </w:r>
    </w:p>
    <w:p w14:paraId="73C3EB8D">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本所律师经核查后认为：截至本法律意见书出具日，宝色股份已就本次增持履行了现阶段所需的信息披露义务，尚需披露本次增持结果公告。</w:t>
      </w:r>
    </w:p>
    <w:p w14:paraId="28434B54">
      <w:pPr>
        <w:numPr>
          <w:ilvl w:val="255"/>
          <w:numId w:val="0"/>
        </w:numPr>
        <w:spacing w:before="156" w:beforeLines="50" w:after="156" w:afterLines="50" w:line="400" w:lineRule="exact"/>
        <w:ind w:firstLine="482"/>
        <w:outlineLvl w:val="0"/>
        <w:rPr>
          <w:rFonts w:ascii="楷体" w:hAnsi="楷体" w:eastAsia="楷体" w:cs="楷体"/>
          <w:b/>
          <w:bCs/>
          <w:sz w:val="24"/>
          <w:szCs w:val="24"/>
        </w:rPr>
      </w:pPr>
      <w:r>
        <w:rPr>
          <w:rFonts w:hint="eastAsia" w:ascii="楷体" w:hAnsi="楷体" w:eastAsia="楷体" w:cs="楷体"/>
          <w:b/>
          <w:bCs/>
          <w:sz w:val="24"/>
          <w:szCs w:val="24"/>
        </w:rPr>
        <w:t>五、结论意见</w:t>
      </w:r>
    </w:p>
    <w:p w14:paraId="6436A004">
      <w:pPr>
        <w:spacing w:before="156" w:beforeLines="50" w:after="156" w:afterLines="50" w:line="400" w:lineRule="exact"/>
        <w:ind w:firstLine="480" w:firstLineChars="200"/>
        <w:rPr>
          <w:rFonts w:ascii="楷体" w:hAnsi="楷体" w:eastAsia="楷体" w:cs="楷体"/>
          <w:sz w:val="24"/>
          <w:szCs w:val="24"/>
        </w:rPr>
      </w:pPr>
      <w:r>
        <w:rPr>
          <w:rFonts w:ascii="楷体" w:hAnsi="楷体" w:eastAsia="楷体" w:cs="楷体"/>
          <w:sz w:val="24"/>
          <w:szCs w:val="24"/>
        </w:rPr>
        <w:t>综上所述，本所律师认为</w:t>
      </w:r>
      <w:r>
        <w:rPr>
          <w:rFonts w:hint="eastAsia" w:ascii="楷体" w:hAnsi="楷体" w:eastAsia="楷体" w:cs="楷体"/>
          <w:sz w:val="24"/>
          <w:szCs w:val="24"/>
        </w:rPr>
        <w:t>：</w:t>
      </w:r>
    </w:p>
    <w:p w14:paraId="7F4F0FAB">
      <w:pPr>
        <w:spacing w:before="156" w:beforeLines="50" w:after="156" w:afterLines="50" w:line="400" w:lineRule="exact"/>
        <w:ind w:firstLine="480" w:firstLineChars="200"/>
        <w:rPr>
          <w:rFonts w:ascii="楷体" w:hAnsi="楷体" w:eastAsia="楷体" w:cs="楷体"/>
          <w:sz w:val="24"/>
          <w:szCs w:val="24"/>
        </w:rPr>
      </w:pPr>
      <w:r>
        <w:rPr>
          <w:rFonts w:hint="eastAsia" w:ascii="楷体" w:hAnsi="楷体" w:eastAsia="楷体" w:cs="楷体"/>
          <w:sz w:val="24"/>
          <w:szCs w:val="24"/>
        </w:rPr>
        <w:t>（一）宝钛集团具备实施本次增持的主体资格；</w:t>
      </w:r>
    </w:p>
    <w:p w14:paraId="56C69E8F">
      <w:pPr>
        <w:spacing w:before="156" w:beforeLines="50" w:after="156" w:afterLines="50" w:line="400" w:lineRule="exact"/>
        <w:ind w:firstLine="480" w:firstLineChars="200"/>
        <w:rPr>
          <w:rFonts w:ascii="楷体" w:hAnsi="楷体" w:eastAsia="楷体" w:cs="楷体"/>
          <w:sz w:val="24"/>
          <w:szCs w:val="24"/>
        </w:rPr>
      </w:pPr>
      <w:r>
        <w:rPr>
          <w:rFonts w:hint="eastAsia" w:ascii="楷体" w:hAnsi="楷体" w:eastAsia="楷体" w:cs="楷体"/>
          <w:sz w:val="24"/>
          <w:szCs w:val="24"/>
        </w:rPr>
        <w:t>（二）宝钛集团本次增持行为符合《证券法》《收购管理办法》等相关法律、行政法规、部门规章及规范性文件的规定；</w:t>
      </w:r>
    </w:p>
    <w:p w14:paraId="4B555033">
      <w:pPr>
        <w:spacing w:before="156" w:beforeLines="50" w:after="156" w:afterLines="50" w:line="400" w:lineRule="exact"/>
        <w:ind w:firstLine="480" w:firstLineChars="200"/>
        <w:rPr>
          <w:rFonts w:ascii="楷体" w:hAnsi="楷体" w:eastAsia="楷体" w:cs="楷体"/>
          <w:sz w:val="24"/>
          <w:szCs w:val="24"/>
        </w:rPr>
      </w:pPr>
      <w:r>
        <w:rPr>
          <w:rFonts w:hint="eastAsia" w:ascii="楷体" w:hAnsi="楷体" w:eastAsia="楷体" w:cs="楷体"/>
          <w:sz w:val="24"/>
          <w:szCs w:val="24"/>
        </w:rPr>
        <w:t>（三）本次增持符合《收购管理办法》规定的可免于发出要约的情形；</w:t>
      </w:r>
    </w:p>
    <w:p w14:paraId="415AA66A">
      <w:pPr>
        <w:spacing w:before="156" w:beforeLines="50" w:after="156" w:afterLines="50" w:line="400" w:lineRule="exact"/>
        <w:ind w:firstLine="480" w:firstLineChars="200"/>
        <w:rPr>
          <w:rFonts w:ascii="楷体" w:hAnsi="楷体" w:eastAsia="楷体" w:cs="楷体"/>
          <w:sz w:val="24"/>
          <w:szCs w:val="24"/>
        </w:rPr>
      </w:pPr>
      <w:r>
        <w:rPr>
          <w:rFonts w:hint="eastAsia" w:ascii="楷体" w:hAnsi="楷体" w:eastAsia="楷体" w:cs="楷体"/>
          <w:sz w:val="24"/>
          <w:szCs w:val="24"/>
        </w:rPr>
        <w:t>（四）宝色股份已就本次增持履行了现阶段所需的信息披露义务，尚需披露本次增持结果公告。</w:t>
      </w:r>
    </w:p>
    <w:p w14:paraId="366DAD2D">
      <w:pPr>
        <w:spacing w:before="156" w:beforeLines="50" w:after="156" w:afterLines="50" w:line="400" w:lineRule="exact"/>
        <w:ind w:firstLine="480" w:firstLineChars="200"/>
        <w:rPr>
          <w:rFonts w:ascii="楷体" w:hAnsi="楷体" w:eastAsia="楷体" w:cs="楷体"/>
          <w:sz w:val="24"/>
          <w:szCs w:val="24"/>
        </w:rPr>
      </w:pPr>
      <w:r>
        <w:rPr>
          <w:rFonts w:ascii="楷体" w:hAnsi="楷体" w:eastAsia="楷体" w:cs="楷体"/>
          <w:sz w:val="24"/>
          <w:szCs w:val="24"/>
        </w:rPr>
        <w:t>本法律意见书一式四份，经本所负责人、经办律师签字并加盖本所公章后生效，具有同等法律效力。</w:t>
      </w:r>
    </w:p>
    <w:p w14:paraId="3CAFFEE8">
      <w:pPr>
        <w:widowControl/>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br w:type="page"/>
      </w:r>
    </w:p>
    <w:p w14:paraId="1A34E0EE">
      <w:pPr>
        <w:spacing w:before="156" w:beforeLines="50" w:after="156" w:afterLines="50" w:line="360" w:lineRule="auto"/>
        <w:rPr>
          <w:rFonts w:ascii="楷体" w:hAnsi="楷体" w:eastAsia="楷体" w:cs="楷体"/>
          <w:sz w:val="24"/>
          <w:szCs w:val="24"/>
        </w:rPr>
      </w:pPr>
      <w:r>
        <w:rPr>
          <w:rFonts w:hint="eastAsia" w:ascii="楷体" w:hAnsi="楷体" w:eastAsia="楷体" w:cs="楷体"/>
          <w:sz w:val="24"/>
          <w:szCs w:val="24"/>
        </w:rPr>
        <w:t>（本页无正文，为《北京观韬（西安）律师事务所关于宝钛集团有限公司增持南京宝色股份公司股份的法律意见书》之签字盖章页）</w:t>
      </w:r>
    </w:p>
    <w:p w14:paraId="29C8C996">
      <w:pPr>
        <w:spacing w:before="156" w:beforeLines="50" w:after="156" w:afterLines="50" w:line="360" w:lineRule="auto"/>
        <w:ind w:firstLine="480" w:firstLineChars="200"/>
        <w:rPr>
          <w:rFonts w:ascii="楷体" w:hAnsi="楷体" w:eastAsia="楷体" w:cs="楷体"/>
          <w:sz w:val="24"/>
          <w:szCs w:val="24"/>
        </w:rPr>
      </w:pPr>
    </w:p>
    <w:p w14:paraId="03574F40">
      <w:pPr>
        <w:spacing w:before="156" w:beforeLines="50" w:after="156" w:afterLines="50" w:line="360" w:lineRule="auto"/>
        <w:ind w:firstLine="480" w:firstLineChars="200"/>
        <w:rPr>
          <w:rFonts w:ascii="楷体" w:hAnsi="楷体" w:eastAsia="楷体" w:cs="楷体"/>
          <w:sz w:val="24"/>
          <w:szCs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7"/>
        <w:gridCol w:w="1939"/>
        <w:gridCol w:w="1058"/>
        <w:gridCol w:w="601"/>
        <w:gridCol w:w="1547"/>
        <w:gridCol w:w="2007"/>
        <w:gridCol w:w="516"/>
      </w:tblGrid>
      <w:tr w14:paraId="4967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3794" w:type="dxa"/>
            <w:gridSpan w:val="3"/>
          </w:tcPr>
          <w:p w14:paraId="2E0D52B9">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北京观韬（西安）律师事务所</w:t>
            </w:r>
          </w:p>
        </w:tc>
        <w:tc>
          <w:tcPr>
            <w:tcW w:w="601" w:type="dxa"/>
          </w:tcPr>
          <w:p w14:paraId="693B18AF">
            <w:pPr>
              <w:spacing w:before="156" w:beforeLines="50" w:after="156" w:afterLines="50" w:line="360" w:lineRule="auto"/>
              <w:rPr>
                <w:rFonts w:ascii="楷体" w:hAnsi="楷体" w:eastAsia="楷体" w:cs="楷体"/>
                <w:sz w:val="24"/>
                <w:szCs w:val="24"/>
              </w:rPr>
            </w:pPr>
          </w:p>
        </w:tc>
        <w:tc>
          <w:tcPr>
            <w:tcW w:w="4070" w:type="dxa"/>
            <w:gridSpan w:val="3"/>
          </w:tcPr>
          <w:p w14:paraId="04E5B8D3">
            <w:pPr>
              <w:spacing w:before="156" w:beforeLines="50" w:after="156" w:afterLines="50" w:line="360" w:lineRule="auto"/>
              <w:ind w:firstLine="480" w:firstLineChars="200"/>
              <w:rPr>
                <w:rFonts w:ascii="楷体" w:hAnsi="楷体" w:eastAsia="楷体" w:cs="楷体"/>
                <w:sz w:val="24"/>
                <w:szCs w:val="24"/>
              </w:rPr>
            </w:pPr>
          </w:p>
        </w:tc>
      </w:tr>
      <w:tr w14:paraId="5F6B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794" w:type="dxa"/>
            <w:gridSpan w:val="3"/>
          </w:tcPr>
          <w:p w14:paraId="22A80E0C">
            <w:pPr>
              <w:spacing w:before="156" w:beforeLines="50" w:after="156" w:afterLines="50" w:line="360" w:lineRule="auto"/>
              <w:ind w:firstLine="480" w:firstLineChars="200"/>
              <w:rPr>
                <w:rFonts w:ascii="楷体" w:hAnsi="楷体" w:eastAsia="楷体" w:cs="楷体"/>
                <w:sz w:val="24"/>
                <w:szCs w:val="24"/>
              </w:rPr>
            </w:pPr>
          </w:p>
        </w:tc>
        <w:tc>
          <w:tcPr>
            <w:tcW w:w="601" w:type="dxa"/>
          </w:tcPr>
          <w:p w14:paraId="78AF4926">
            <w:pPr>
              <w:spacing w:before="156" w:beforeLines="50" w:after="156" w:afterLines="50" w:line="360" w:lineRule="auto"/>
              <w:ind w:firstLine="480" w:firstLineChars="200"/>
              <w:rPr>
                <w:rFonts w:ascii="楷体" w:hAnsi="楷体" w:eastAsia="楷体" w:cs="楷体"/>
                <w:sz w:val="24"/>
                <w:szCs w:val="24"/>
              </w:rPr>
            </w:pPr>
          </w:p>
        </w:tc>
        <w:tc>
          <w:tcPr>
            <w:tcW w:w="4070" w:type="dxa"/>
            <w:gridSpan w:val="3"/>
          </w:tcPr>
          <w:p w14:paraId="481048DB">
            <w:pPr>
              <w:spacing w:before="156" w:beforeLines="50" w:after="156" w:afterLines="50" w:line="360" w:lineRule="auto"/>
              <w:ind w:firstLine="480" w:firstLineChars="200"/>
              <w:rPr>
                <w:rFonts w:ascii="楷体" w:hAnsi="楷体" w:eastAsia="楷体" w:cs="楷体"/>
                <w:sz w:val="24"/>
                <w:szCs w:val="24"/>
              </w:rPr>
            </w:pPr>
          </w:p>
        </w:tc>
      </w:tr>
      <w:tr w14:paraId="303C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36" w:type="dxa"/>
            <w:gridSpan w:val="2"/>
            <w:tcBorders>
              <w:bottom w:val="nil"/>
            </w:tcBorders>
          </w:tcPr>
          <w:p w14:paraId="27A0461E">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负责人：贾建伟</w:t>
            </w:r>
          </w:p>
        </w:tc>
        <w:tc>
          <w:tcPr>
            <w:tcW w:w="1058" w:type="dxa"/>
            <w:tcBorders>
              <w:bottom w:val="nil"/>
            </w:tcBorders>
          </w:tcPr>
          <w:p w14:paraId="6CE02F3D">
            <w:pPr>
              <w:spacing w:before="156" w:beforeLines="50" w:after="156" w:afterLines="50" w:line="360" w:lineRule="auto"/>
              <w:ind w:firstLine="480" w:firstLineChars="200"/>
              <w:rPr>
                <w:rFonts w:ascii="楷体" w:hAnsi="楷体" w:eastAsia="楷体" w:cs="楷体"/>
                <w:sz w:val="24"/>
                <w:szCs w:val="24"/>
              </w:rPr>
            </w:pPr>
          </w:p>
        </w:tc>
        <w:tc>
          <w:tcPr>
            <w:tcW w:w="601" w:type="dxa"/>
            <w:vMerge w:val="restart"/>
          </w:tcPr>
          <w:p w14:paraId="1534AD22">
            <w:pPr>
              <w:spacing w:before="156" w:beforeLines="50" w:after="156" w:afterLines="50" w:line="360" w:lineRule="auto"/>
              <w:ind w:firstLine="480" w:firstLineChars="200"/>
              <w:rPr>
                <w:rFonts w:ascii="楷体" w:hAnsi="楷体" w:eastAsia="楷体" w:cs="楷体"/>
                <w:sz w:val="24"/>
                <w:szCs w:val="24"/>
              </w:rPr>
            </w:pPr>
          </w:p>
        </w:tc>
        <w:tc>
          <w:tcPr>
            <w:tcW w:w="1547" w:type="dxa"/>
            <w:vMerge w:val="restart"/>
          </w:tcPr>
          <w:p w14:paraId="7820C919">
            <w:pPr>
              <w:spacing w:before="156" w:beforeLines="50" w:after="156" w:afterLines="50" w:line="360" w:lineRule="auto"/>
              <w:rPr>
                <w:rFonts w:ascii="楷体" w:hAnsi="楷体" w:eastAsia="楷体" w:cs="楷体"/>
                <w:sz w:val="24"/>
                <w:szCs w:val="24"/>
              </w:rPr>
            </w:pPr>
            <w:r>
              <w:rPr>
                <w:rFonts w:hint="eastAsia" w:ascii="楷体" w:hAnsi="楷体" w:eastAsia="楷体" w:cs="楷体"/>
                <w:sz w:val="24"/>
                <w:szCs w:val="24"/>
              </w:rPr>
              <w:t>经办律师：</w:t>
            </w:r>
          </w:p>
        </w:tc>
        <w:tc>
          <w:tcPr>
            <w:tcW w:w="2007" w:type="dxa"/>
            <w:vMerge w:val="restart"/>
          </w:tcPr>
          <w:p w14:paraId="4CABF401">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张翠雨</w:t>
            </w:r>
          </w:p>
        </w:tc>
        <w:tc>
          <w:tcPr>
            <w:tcW w:w="516" w:type="dxa"/>
            <w:vMerge w:val="restart"/>
          </w:tcPr>
          <w:p w14:paraId="4CDDB440">
            <w:pPr>
              <w:spacing w:before="156" w:beforeLines="50" w:after="156" w:afterLines="50" w:line="360" w:lineRule="auto"/>
              <w:ind w:firstLine="480" w:firstLineChars="200"/>
              <w:rPr>
                <w:rFonts w:ascii="楷体" w:hAnsi="楷体" w:eastAsia="楷体" w:cs="楷体"/>
                <w:sz w:val="24"/>
                <w:szCs w:val="24"/>
              </w:rPr>
            </w:pPr>
          </w:p>
        </w:tc>
      </w:tr>
      <w:tr w14:paraId="3E0F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97" w:type="dxa"/>
            <w:tcBorders>
              <w:top w:val="nil"/>
              <w:bottom w:val="nil"/>
            </w:tcBorders>
          </w:tcPr>
          <w:p w14:paraId="04918AC4">
            <w:pPr>
              <w:spacing w:before="156" w:beforeLines="50" w:after="156" w:afterLines="50" w:line="360" w:lineRule="auto"/>
              <w:ind w:firstLine="480" w:firstLineChars="200"/>
              <w:rPr>
                <w:rFonts w:ascii="楷体" w:hAnsi="楷体" w:eastAsia="楷体" w:cs="楷体"/>
                <w:sz w:val="24"/>
                <w:szCs w:val="24"/>
              </w:rPr>
            </w:pPr>
          </w:p>
        </w:tc>
        <w:tc>
          <w:tcPr>
            <w:tcW w:w="1939" w:type="dxa"/>
            <w:tcBorders>
              <w:top w:val="nil"/>
              <w:bottom w:val="single" w:color="auto" w:sz="4" w:space="0"/>
            </w:tcBorders>
          </w:tcPr>
          <w:p w14:paraId="1E75D54E">
            <w:pPr>
              <w:spacing w:before="156" w:beforeLines="50" w:after="156" w:afterLines="50" w:line="360" w:lineRule="auto"/>
              <w:ind w:firstLine="480" w:firstLineChars="200"/>
              <w:rPr>
                <w:rFonts w:ascii="楷体" w:hAnsi="楷体" w:eastAsia="楷体" w:cs="楷体"/>
                <w:sz w:val="24"/>
                <w:szCs w:val="24"/>
              </w:rPr>
            </w:pPr>
          </w:p>
        </w:tc>
        <w:tc>
          <w:tcPr>
            <w:tcW w:w="1058" w:type="dxa"/>
            <w:tcBorders>
              <w:top w:val="nil"/>
            </w:tcBorders>
          </w:tcPr>
          <w:p w14:paraId="7E7C99D7">
            <w:pPr>
              <w:spacing w:before="156" w:beforeLines="50" w:after="156" w:afterLines="50" w:line="360" w:lineRule="auto"/>
              <w:ind w:firstLine="480" w:firstLineChars="200"/>
              <w:rPr>
                <w:rFonts w:ascii="楷体" w:hAnsi="楷体" w:eastAsia="楷体" w:cs="楷体"/>
                <w:sz w:val="24"/>
                <w:szCs w:val="24"/>
              </w:rPr>
            </w:pPr>
          </w:p>
        </w:tc>
        <w:tc>
          <w:tcPr>
            <w:tcW w:w="601" w:type="dxa"/>
            <w:vMerge w:val="continue"/>
          </w:tcPr>
          <w:p w14:paraId="62E6BFE4">
            <w:pPr>
              <w:spacing w:before="156" w:beforeLines="50" w:after="156" w:afterLines="50" w:line="360" w:lineRule="auto"/>
              <w:ind w:firstLine="480" w:firstLineChars="200"/>
              <w:rPr>
                <w:rFonts w:ascii="楷体" w:hAnsi="楷体" w:eastAsia="楷体" w:cs="楷体"/>
                <w:sz w:val="24"/>
                <w:szCs w:val="24"/>
              </w:rPr>
            </w:pPr>
          </w:p>
        </w:tc>
        <w:tc>
          <w:tcPr>
            <w:tcW w:w="1547" w:type="dxa"/>
            <w:vMerge w:val="continue"/>
          </w:tcPr>
          <w:p w14:paraId="0ECF8D3A">
            <w:pPr>
              <w:spacing w:before="156" w:beforeLines="50" w:after="156" w:afterLines="50" w:line="360" w:lineRule="auto"/>
              <w:ind w:firstLine="480" w:firstLineChars="200"/>
              <w:rPr>
                <w:rFonts w:ascii="楷体" w:hAnsi="楷体" w:eastAsia="楷体" w:cs="楷体"/>
                <w:sz w:val="24"/>
                <w:szCs w:val="24"/>
              </w:rPr>
            </w:pPr>
          </w:p>
        </w:tc>
        <w:tc>
          <w:tcPr>
            <w:tcW w:w="2007" w:type="dxa"/>
            <w:vMerge w:val="continue"/>
            <w:tcBorders>
              <w:bottom w:val="single" w:color="auto" w:sz="4" w:space="0"/>
            </w:tcBorders>
          </w:tcPr>
          <w:p w14:paraId="480D8AEC">
            <w:pPr>
              <w:spacing w:before="156" w:beforeLines="50" w:after="156" w:afterLines="50" w:line="360" w:lineRule="auto"/>
              <w:ind w:firstLine="480" w:firstLineChars="200"/>
              <w:rPr>
                <w:rFonts w:ascii="楷体" w:hAnsi="楷体" w:eastAsia="楷体" w:cs="楷体"/>
                <w:sz w:val="24"/>
                <w:szCs w:val="24"/>
              </w:rPr>
            </w:pPr>
          </w:p>
        </w:tc>
        <w:tc>
          <w:tcPr>
            <w:tcW w:w="516" w:type="dxa"/>
            <w:vMerge w:val="continue"/>
          </w:tcPr>
          <w:p w14:paraId="09DE6B6F">
            <w:pPr>
              <w:spacing w:before="156" w:beforeLines="50" w:after="156" w:afterLines="50" w:line="360" w:lineRule="auto"/>
              <w:ind w:firstLine="480" w:firstLineChars="200"/>
              <w:rPr>
                <w:rFonts w:ascii="楷体" w:hAnsi="楷体" w:eastAsia="楷体" w:cs="楷体"/>
                <w:sz w:val="24"/>
                <w:szCs w:val="24"/>
              </w:rPr>
            </w:pPr>
          </w:p>
        </w:tc>
      </w:tr>
      <w:tr w14:paraId="6F72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97" w:type="dxa"/>
            <w:tcBorders>
              <w:top w:val="nil"/>
            </w:tcBorders>
          </w:tcPr>
          <w:p w14:paraId="65223805">
            <w:pPr>
              <w:spacing w:before="156" w:beforeLines="50" w:after="156" w:afterLines="50" w:line="360" w:lineRule="auto"/>
              <w:ind w:firstLine="480" w:firstLineChars="200"/>
              <w:rPr>
                <w:rFonts w:ascii="楷体" w:hAnsi="楷体" w:eastAsia="楷体" w:cs="楷体"/>
                <w:sz w:val="24"/>
                <w:szCs w:val="24"/>
              </w:rPr>
            </w:pPr>
          </w:p>
        </w:tc>
        <w:tc>
          <w:tcPr>
            <w:tcW w:w="1939" w:type="dxa"/>
            <w:tcBorders>
              <w:top w:val="single" w:color="auto" w:sz="4" w:space="0"/>
            </w:tcBorders>
          </w:tcPr>
          <w:p w14:paraId="6AB22974">
            <w:pPr>
              <w:spacing w:before="156" w:beforeLines="50" w:after="156" w:afterLines="50" w:line="360" w:lineRule="auto"/>
              <w:ind w:firstLine="480" w:firstLineChars="200"/>
              <w:rPr>
                <w:rFonts w:ascii="楷体" w:hAnsi="楷体" w:eastAsia="楷体" w:cs="楷体"/>
                <w:sz w:val="24"/>
                <w:szCs w:val="24"/>
              </w:rPr>
            </w:pPr>
          </w:p>
        </w:tc>
        <w:tc>
          <w:tcPr>
            <w:tcW w:w="1058" w:type="dxa"/>
          </w:tcPr>
          <w:p w14:paraId="769BE430">
            <w:pPr>
              <w:spacing w:before="156" w:beforeLines="50" w:after="156" w:afterLines="50" w:line="360" w:lineRule="auto"/>
              <w:ind w:firstLine="480" w:firstLineChars="200"/>
              <w:rPr>
                <w:rFonts w:ascii="楷体" w:hAnsi="楷体" w:eastAsia="楷体" w:cs="楷体"/>
                <w:sz w:val="24"/>
                <w:szCs w:val="24"/>
              </w:rPr>
            </w:pPr>
          </w:p>
        </w:tc>
        <w:tc>
          <w:tcPr>
            <w:tcW w:w="601" w:type="dxa"/>
          </w:tcPr>
          <w:p w14:paraId="5505B6DF">
            <w:pPr>
              <w:spacing w:before="156" w:beforeLines="50" w:after="156" w:afterLines="50" w:line="360" w:lineRule="auto"/>
              <w:ind w:firstLine="480" w:firstLineChars="200"/>
              <w:rPr>
                <w:rFonts w:ascii="楷体" w:hAnsi="楷体" w:eastAsia="楷体" w:cs="楷体"/>
                <w:sz w:val="24"/>
                <w:szCs w:val="24"/>
              </w:rPr>
            </w:pPr>
          </w:p>
        </w:tc>
        <w:tc>
          <w:tcPr>
            <w:tcW w:w="1547" w:type="dxa"/>
          </w:tcPr>
          <w:p w14:paraId="35C8AAD9">
            <w:pPr>
              <w:spacing w:before="156" w:beforeLines="50" w:after="156" w:afterLines="50" w:line="360" w:lineRule="auto"/>
              <w:ind w:firstLine="480" w:firstLineChars="200"/>
              <w:rPr>
                <w:rFonts w:ascii="楷体" w:hAnsi="楷体" w:eastAsia="楷体" w:cs="楷体"/>
                <w:sz w:val="24"/>
                <w:szCs w:val="24"/>
              </w:rPr>
            </w:pPr>
          </w:p>
        </w:tc>
        <w:tc>
          <w:tcPr>
            <w:tcW w:w="2007" w:type="dxa"/>
            <w:tcBorders>
              <w:top w:val="single" w:color="auto" w:sz="4" w:space="0"/>
            </w:tcBorders>
          </w:tcPr>
          <w:p w14:paraId="7B35E262">
            <w:pPr>
              <w:spacing w:before="156" w:beforeLines="50" w:after="156" w:afterLines="50" w:line="360" w:lineRule="auto"/>
              <w:ind w:firstLine="480" w:firstLineChars="200"/>
              <w:rPr>
                <w:rFonts w:ascii="楷体" w:hAnsi="楷体" w:eastAsia="楷体" w:cs="楷体"/>
                <w:sz w:val="24"/>
                <w:szCs w:val="24"/>
              </w:rPr>
            </w:pPr>
          </w:p>
        </w:tc>
        <w:tc>
          <w:tcPr>
            <w:tcW w:w="516" w:type="dxa"/>
          </w:tcPr>
          <w:p w14:paraId="642B5FF0">
            <w:pPr>
              <w:spacing w:before="156" w:beforeLines="50" w:after="156" w:afterLines="50" w:line="360" w:lineRule="auto"/>
              <w:ind w:firstLine="480" w:firstLineChars="200"/>
              <w:rPr>
                <w:rFonts w:ascii="楷体" w:hAnsi="楷体" w:eastAsia="楷体" w:cs="楷体"/>
                <w:sz w:val="24"/>
                <w:szCs w:val="24"/>
              </w:rPr>
            </w:pPr>
          </w:p>
        </w:tc>
      </w:tr>
      <w:tr w14:paraId="0398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797" w:type="dxa"/>
          </w:tcPr>
          <w:p w14:paraId="17878338">
            <w:pPr>
              <w:spacing w:before="156" w:beforeLines="50" w:after="156" w:afterLines="50" w:line="360" w:lineRule="auto"/>
              <w:ind w:firstLine="480" w:firstLineChars="200"/>
              <w:rPr>
                <w:rFonts w:ascii="楷体" w:hAnsi="楷体" w:eastAsia="楷体" w:cs="楷体"/>
                <w:sz w:val="24"/>
                <w:szCs w:val="24"/>
              </w:rPr>
            </w:pPr>
          </w:p>
        </w:tc>
        <w:tc>
          <w:tcPr>
            <w:tcW w:w="1939" w:type="dxa"/>
          </w:tcPr>
          <w:p w14:paraId="1A789F73">
            <w:pPr>
              <w:spacing w:before="156" w:beforeLines="50" w:after="156" w:afterLines="50" w:line="360" w:lineRule="auto"/>
              <w:ind w:firstLine="480" w:firstLineChars="200"/>
              <w:rPr>
                <w:rFonts w:ascii="楷体" w:hAnsi="楷体" w:eastAsia="楷体" w:cs="楷体"/>
                <w:sz w:val="24"/>
                <w:szCs w:val="24"/>
              </w:rPr>
            </w:pPr>
          </w:p>
        </w:tc>
        <w:tc>
          <w:tcPr>
            <w:tcW w:w="1058" w:type="dxa"/>
          </w:tcPr>
          <w:p w14:paraId="43C3CD68">
            <w:pPr>
              <w:spacing w:before="156" w:beforeLines="50" w:after="156" w:afterLines="50" w:line="360" w:lineRule="auto"/>
              <w:ind w:firstLine="480" w:firstLineChars="200"/>
              <w:rPr>
                <w:rFonts w:ascii="楷体" w:hAnsi="楷体" w:eastAsia="楷体" w:cs="楷体"/>
                <w:sz w:val="24"/>
                <w:szCs w:val="24"/>
              </w:rPr>
            </w:pPr>
          </w:p>
        </w:tc>
        <w:tc>
          <w:tcPr>
            <w:tcW w:w="601" w:type="dxa"/>
          </w:tcPr>
          <w:p w14:paraId="435D5E83">
            <w:pPr>
              <w:spacing w:before="156" w:beforeLines="50" w:after="156" w:afterLines="50" w:line="360" w:lineRule="auto"/>
              <w:ind w:firstLine="480" w:firstLineChars="200"/>
              <w:rPr>
                <w:rFonts w:ascii="楷体" w:hAnsi="楷体" w:eastAsia="楷体" w:cs="楷体"/>
                <w:sz w:val="24"/>
                <w:szCs w:val="24"/>
              </w:rPr>
            </w:pPr>
          </w:p>
        </w:tc>
        <w:tc>
          <w:tcPr>
            <w:tcW w:w="1547" w:type="dxa"/>
          </w:tcPr>
          <w:p w14:paraId="78F34298">
            <w:pPr>
              <w:spacing w:before="156" w:beforeLines="50" w:after="156" w:afterLines="50" w:line="360" w:lineRule="auto"/>
              <w:ind w:firstLine="480" w:firstLineChars="200"/>
              <w:rPr>
                <w:rFonts w:ascii="楷体" w:hAnsi="楷体" w:eastAsia="楷体" w:cs="楷体"/>
                <w:sz w:val="24"/>
                <w:szCs w:val="24"/>
              </w:rPr>
            </w:pPr>
          </w:p>
        </w:tc>
        <w:tc>
          <w:tcPr>
            <w:tcW w:w="2007" w:type="dxa"/>
            <w:tcBorders>
              <w:bottom w:val="single" w:color="auto" w:sz="4" w:space="0"/>
            </w:tcBorders>
          </w:tcPr>
          <w:p w14:paraId="6B2E73FD">
            <w:pPr>
              <w:spacing w:before="156" w:beforeLines="50" w:after="156" w:afterLines="50" w:line="360" w:lineRule="auto"/>
              <w:ind w:firstLine="480" w:firstLineChars="200"/>
              <w:rPr>
                <w:rFonts w:ascii="楷体" w:hAnsi="楷体" w:eastAsia="楷体" w:cs="楷体"/>
                <w:sz w:val="24"/>
                <w:szCs w:val="24"/>
              </w:rPr>
            </w:pPr>
            <w:r>
              <w:rPr>
                <w:rFonts w:hint="eastAsia" w:ascii="楷体" w:hAnsi="楷体" w:eastAsia="楷体" w:cs="楷体"/>
                <w:sz w:val="24"/>
                <w:szCs w:val="24"/>
              </w:rPr>
              <w:t>杨梅</w:t>
            </w:r>
          </w:p>
        </w:tc>
        <w:tc>
          <w:tcPr>
            <w:tcW w:w="516" w:type="dxa"/>
          </w:tcPr>
          <w:p w14:paraId="213581B9">
            <w:pPr>
              <w:spacing w:before="156" w:beforeLines="50" w:after="156" w:afterLines="50" w:line="360" w:lineRule="auto"/>
              <w:ind w:firstLine="480" w:firstLineChars="200"/>
              <w:rPr>
                <w:rFonts w:ascii="楷体" w:hAnsi="楷体" w:eastAsia="楷体" w:cs="楷体"/>
                <w:sz w:val="24"/>
                <w:szCs w:val="24"/>
              </w:rPr>
            </w:pPr>
          </w:p>
        </w:tc>
      </w:tr>
      <w:tr w14:paraId="3D63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97" w:type="dxa"/>
          </w:tcPr>
          <w:p w14:paraId="11E93623">
            <w:pPr>
              <w:spacing w:before="156" w:beforeLines="50" w:after="156" w:afterLines="50" w:line="360" w:lineRule="auto"/>
              <w:ind w:firstLine="480" w:firstLineChars="200"/>
              <w:rPr>
                <w:rFonts w:ascii="楷体" w:hAnsi="楷体" w:eastAsia="楷体" w:cs="楷体"/>
                <w:sz w:val="24"/>
                <w:szCs w:val="24"/>
              </w:rPr>
            </w:pPr>
          </w:p>
        </w:tc>
        <w:tc>
          <w:tcPr>
            <w:tcW w:w="1939" w:type="dxa"/>
          </w:tcPr>
          <w:p w14:paraId="13CD8E52">
            <w:pPr>
              <w:spacing w:before="156" w:beforeLines="50" w:after="156" w:afterLines="50" w:line="360" w:lineRule="auto"/>
              <w:ind w:firstLine="480" w:firstLineChars="200"/>
              <w:rPr>
                <w:rFonts w:ascii="楷体" w:hAnsi="楷体" w:eastAsia="楷体" w:cs="楷体"/>
                <w:sz w:val="24"/>
                <w:szCs w:val="24"/>
              </w:rPr>
            </w:pPr>
          </w:p>
        </w:tc>
        <w:tc>
          <w:tcPr>
            <w:tcW w:w="1058" w:type="dxa"/>
          </w:tcPr>
          <w:p w14:paraId="554E82CA">
            <w:pPr>
              <w:spacing w:before="156" w:beforeLines="50" w:after="156" w:afterLines="50" w:line="360" w:lineRule="auto"/>
              <w:ind w:firstLine="480" w:firstLineChars="200"/>
              <w:rPr>
                <w:rFonts w:ascii="楷体" w:hAnsi="楷体" w:eastAsia="楷体" w:cs="楷体"/>
                <w:sz w:val="24"/>
                <w:szCs w:val="24"/>
              </w:rPr>
            </w:pPr>
          </w:p>
        </w:tc>
        <w:tc>
          <w:tcPr>
            <w:tcW w:w="601" w:type="dxa"/>
          </w:tcPr>
          <w:p w14:paraId="3EEE89BF">
            <w:pPr>
              <w:spacing w:before="156" w:beforeLines="50" w:after="156" w:afterLines="50" w:line="360" w:lineRule="auto"/>
              <w:ind w:firstLine="480" w:firstLineChars="200"/>
              <w:rPr>
                <w:rFonts w:ascii="楷体" w:hAnsi="楷体" w:eastAsia="楷体" w:cs="楷体"/>
                <w:sz w:val="24"/>
                <w:szCs w:val="24"/>
              </w:rPr>
            </w:pPr>
          </w:p>
        </w:tc>
        <w:tc>
          <w:tcPr>
            <w:tcW w:w="1547" w:type="dxa"/>
          </w:tcPr>
          <w:p w14:paraId="51E00562">
            <w:pPr>
              <w:spacing w:before="156" w:beforeLines="50" w:after="156" w:afterLines="50" w:line="360" w:lineRule="auto"/>
              <w:ind w:firstLine="480" w:firstLineChars="200"/>
              <w:rPr>
                <w:rFonts w:ascii="楷体" w:hAnsi="楷体" w:eastAsia="楷体" w:cs="楷体"/>
                <w:sz w:val="24"/>
                <w:szCs w:val="24"/>
              </w:rPr>
            </w:pPr>
          </w:p>
        </w:tc>
        <w:tc>
          <w:tcPr>
            <w:tcW w:w="2007" w:type="dxa"/>
            <w:tcBorders>
              <w:top w:val="single" w:color="auto" w:sz="4" w:space="0"/>
            </w:tcBorders>
          </w:tcPr>
          <w:p w14:paraId="05F586A8">
            <w:pPr>
              <w:spacing w:before="156" w:beforeLines="50" w:after="156" w:afterLines="50" w:line="360" w:lineRule="auto"/>
              <w:ind w:firstLine="480" w:firstLineChars="200"/>
              <w:rPr>
                <w:rFonts w:ascii="楷体" w:hAnsi="楷体" w:eastAsia="楷体" w:cs="楷体"/>
                <w:sz w:val="24"/>
                <w:szCs w:val="24"/>
              </w:rPr>
            </w:pPr>
          </w:p>
        </w:tc>
        <w:tc>
          <w:tcPr>
            <w:tcW w:w="516" w:type="dxa"/>
          </w:tcPr>
          <w:p w14:paraId="242E8C20">
            <w:pPr>
              <w:spacing w:before="156" w:beforeLines="50" w:after="156" w:afterLines="50" w:line="360" w:lineRule="auto"/>
              <w:ind w:firstLine="480" w:firstLineChars="200"/>
              <w:rPr>
                <w:rFonts w:ascii="楷体" w:hAnsi="楷体" w:eastAsia="楷体" w:cs="楷体"/>
                <w:sz w:val="24"/>
                <w:szCs w:val="24"/>
              </w:rPr>
            </w:pPr>
          </w:p>
        </w:tc>
      </w:tr>
    </w:tbl>
    <w:p w14:paraId="7971AC9F">
      <w:pPr>
        <w:spacing w:before="156" w:beforeLines="50" w:after="156" w:afterLines="50" w:line="360" w:lineRule="auto"/>
        <w:ind w:firstLine="480" w:firstLineChars="200"/>
        <w:jc w:val="right"/>
        <w:rPr>
          <w:rFonts w:hint="default" w:ascii="楷体" w:hAnsi="楷体" w:eastAsia="楷体" w:cs="楷体"/>
          <w:sz w:val="24"/>
          <w:szCs w:val="24"/>
          <w:lang w:val="en-US" w:eastAsia="zh-CN"/>
        </w:rPr>
      </w:pPr>
      <w:bookmarkStart w:id="9" w:name="_GoBack"/>
      <w:bookmarkEnd w:id="9"/>
      <w:r>
        <w:rPr>
          <w:rFonts w:hint="eastAsia" w:ascii="楷体" w:hAnsi="楷体" w:eastAsia="楷体" w:cs="楷体"/>
          <w:sz w:val="24"/>
          <w:szCs w:val="24"/>
          <w:lang w:eastAsia="zh-CN"/>
        </w:rPr>
        <w:t>2</w:t>
      </w:r>
      <w:r>
        <w:rPr>
          <w:rFonts w:hint="eastAsia" w:ascii="楷体" w:hAnsi="楷体" w:eastAsia="楷体" w:cs="楷体"/>
          <w:sz w:val="24"/>
          <w:szCs w:val="24"/>
          <w:lang w:val="en-US" w:eastAsia="zh-CN"/>
        </w:rPr>
        <w:t>025年10月10日</w:t>
      </w:r>
    </w:p>
    <w:p w14:paraId="7A12FAA7">
      <w:pPr>
        <w:spacing w:after="156" w:afterLines="50" w:line="360" w:lineRule="auto"/>
      </w:pPr>
    </w:p>
    <w:p w14:paraId="67E9E2C0">
      <w:pPr>
        <w:spacing w:after="156" w:afterLines="50" w:line="360" w:lineRule="auto"/>
        <w:ind w:firstLine="420" w:firstLineChars="200"/>
      </w:pPr>
    </w:p>
    <w:sectPr>
      <w:headerReference r:id="rId3" w:type="default"/>
      <w:footerReference r:id="rId4" w:type="default"/>
      <w:pgSz w:w="11906" w:h="16838"/>
      <w:pgMar w:top="3045"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D62FA">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B471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1B471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A2A2">
    <w:pPr>
      <w:pStyle w:val="11"/>
    </w:pPr>
    <w:r>
      <w:drawing>
        <wp:anchor distT="0" distB="0" distL="114300" distR="114300" simplePos="0" relativeHeight="251659264" behindDoc="0" locked="0" layoutInCell="1" allowOverlap="1">
          <wp:simplePos x="0" y="0"/>
          <wp:positionH relativeFrom="column">
            <wp:posOffset>-1112520</wp:posOffset>
          </wp:positionH>
          <wp:positionV relativeFrom="paragraph">
            <wp:posOffset>-521335</wp:posOffset>
          </wp:positionV>
          <wp:extent cx="7529195" cy="1932940"/>
          <wp:effectExtent l="0" t="0" r="0" b="0"/>
          <wp:wrapNone/>
          <wp:docPr id="458875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3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9429" cy="19331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FF8B"/>
    <w:multiLevelType w:val="singleLevel"/>
    <w:tmpl w:val="CA9FFF8B"/>
    <w:lvl w:ilvl="0" w:tentative="0">
      <w:start w:val="1"/>
      <w:numFmt w:val="decimal"/>
      <w:suff w:val="nothing"/>
      <w:lvlText w:val="%1."/>
      <w:lvlJc w:val="left"/>
      <w:pPr>
        <w:ind w:left="425" w:hanging="425"/>
      </w:pPr>
      <w:rPr>
        <w:rFonts w:hint="default"/>
      </w:rPr>
    </w:lvl>
  </w:abstractNum>
  <w:abstractNum w:abstractNumId="1">
    <w:nsid w:val="F13D7DB3"/>
    <w:multiLevelType w:val="singleLevel"/>
    <w:tmpl w:val="F13D7DB3"/>
    <w:lvl w:ilvl="0" w:tentative="0">
      <w:start w:val="2"/>
      <w:numFmt w:val="chineseCounting"/>
      <w:suff w:val="nothing"/>
      <w:lvlText w:val="%1、"/>
      <w:lvlJc w:val="left"/>
      <w:rPr>
        <w:rFonts w:hint="eastAsia"/>
      </w:rPr>
    </w:lvl>
  </w:abstractNum>
  <w:abstractNum w:abstractNumId="2">
    <w:nsid w:val="F4B3478E"/>
    <w:multiLevelType w:val="singleLevel"/>
    <w:tmpl w:val="F4B3478E"/>
    <w:lvl w:ilvl="0" w:tentative="0">
      <w:start w:val="1"/>
      <w:numFmt w:val="decimal"/>
      <w:suff w:val="nothing"/>
      <w:lvlText w:val="%1."/>
      <w:lvlJc w:val="left"/>
      <w:pPr>
        <w:ind w:left="425" w:hanging="425"/>
      </w:pPr>
      <w:rPr>
        <w:rFonts w:hint="default"/>
      </w:rPr>
    </w:lvl>
  </w:abstractNum>
  <w:abstractNum w:abstractNumId="3">
    <w:nsid w:val="1B1CF9DB"/>
    <w:multiLevelType w:val="singleLevel"/>
    <w:tmpl w:val="1B1CF9DB"/>
    <w:lvl w:ilvl="0" w:tentative="0">
      <w:start w:val="1"/>
      <w:numFmt w:val="chineseCounting"/>
      <w:suff w:val="nothing"/>
      <w:lvlText w:val="（%1）"/>
      <w:lvlJc w:val="left"/>
      <w:rPr>
        <w:rFonts w:hint="eastAsia"/>
      </w:rPr>
    </w:lvl>
  </w:abstractNum>
  <w:abstractNum w:abstractNumId="4">
    <w:nsid w:val="1C17256D"/>
    <w:multiLevelType w:val="singleLevel"/>
    <w:tmpl w:val="1C17256D"/>
    <w:lvl w:ilvl="0" w:tentative="0">
      <w:start w:val="1"/>
      <w:numFmt w:val="decimal"/>
      <w:suff w:val="nothing"/>
      <w:lvlText w:val="%1."/>
      <w:lvlJc w:val="left"/>
    </w:lvl>
  </w:abstractNum>
  <w:abstractNum w:abstractNumId="5">
    <w:nsid w:val="682CAE23"/>
    <w:multiLevelType w:val="singleLevel"/>
    <w:tmpl w:val="682CAE23"/>
    <w:lvl w:ilvl="0" w:tentative="0">
      <w:start w:val="2"/>
      <w:numFmt w:val="chineseCounting"/>
      <w:suff w:val="nothing"/>
      <w:lvlText w:val="（%1）"/>
      <w:lvlJc w:val="left"/>
      <w:rPr>
        <w:rFonts w:hint="eastAsia"/>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s>
  <w:rsids>
    <w:rsidRoot w:val="00FB0461"/>
    <w:rsid w:val="00015E1E"/>
    <w:rsid w:val="00067132"/>
    <w:rsid w:val="000C4474"/>
    <w:rsid w:val="00121DD0"/>
    <w:rsid w:val="00132E7B"/>
    <w:rsid w:val="0013388B"/>
    <w:rsid w:val="001A2E86"/>
    <w:rsid w:val="001C6CBB"/>
    <w:rsid w:val="001E06B4"/>
    <w:rsid w:val="00204A37"/>
    <w:rsid w:val="002353D2"/>
    <w:rsid w:val="00240BFC"/>
    <w:rsid w:val="00264F12"/>
    <w:rsid w:val="00291A2C"/>
    <w:rsid w:val="002A7E79"/>
    <w:rsid w:val="002D6017"/>
    <w:rsid w:val="00343419"/>
    <w:rsid w:val="003A1249"/>
    <w:rsid w:val="003E1357"/>
    <w:rsid w:val="003F76A3"/>
    <w:rsid w:val="00405858"/>
    <w:rsid w:val="00407D12"/>
    <w:rsid w:val="00414C00"/>
    <w:rsid w:val="0041539F"/>
    <w:rsid w:val="00427B4C"/>
    <w:rsid w:val="004339EE"/>
    <w:rsid w:val="00434ECA"/>
    <w:rsid w:val="00443E6C"/>
    <w:rsid w:val="0046668E"/>
    <w:rsid w:val="0047436B"/>
    <w:rsid w:val="00481278"/>
    <w:rsid w:val="00490C3E"/>
    <w:rsid w:val="004A6E07"/>
    <w:rsid w:val="004B47AF"/>
    <w:rsid w:val="004D5F56"/>
    <w:rsid w:val="004F56BB"/>
    <w:rsid w:val="00551DB3"/>
    <w:rsid w:val="0056174C"/>
    <w:rsid w:val="005A342F"/>
    <w:rsid w:val="005B7B0C"/>
    <w:rsid w:val="005E270A"/>
    <w:rsid w:val="006454F8"/>
    <w:rsid w:val="00670C84"/>
    <w:rsid w:val="006B7AEB"/>
    <w:rsid w:val="006B7DAE"/>
    <w:rsid w:val="006C1A7A"/>
    <w:rsid w:val="00711AE1"/>
    <w:rsid w:val="0073370B"/>
    <w:rsid w:val="00762EA0"/>
    <w:rsid w:val="007831DE"/>
    <w:rsid w:val="007F2CAF"/>
    <w:rsid w:val="00815A2E"/>
    <w:rsid w:val="00824D33"/>
    <w:rsid w:val="0083342A"/>
    <w:rsid w:val="00851518"/>
    <w:rsid w:val="00862BA2"/>
    <w:rsid w:val="00867280"/>
    <w:rsid w:val="008B6E8C"/>
    <w:rsid w:val="008F20E3"/>
    <w:rsid w:val="009065F1"/>
    <w:rsid w:val="0091128D"/>
    <w:rsid w:val="0093676E"/>
    <w:rsid w:val="00957ABA"/>
    <w:rsid w:val="00982642"/>
    <w:rsid w:val="009B7735"/>
    <w:rsid w:val="009D11B6"/>
    <w:rsid w:val="009D5971"/>
    <w:rsid w:val="009F7AD4"/>
    <w:rsid w:val="00A1754E"/>
    <w:rsid w:val="00A317F5"/>
    <w:rsid w:val="00A35431"/>
    <w:rsid w:val="00A478E9"/>
    <w:rsid w:val="00AA3B68"/>
    <w:rsid w:val="00AC6F7D"/>
    <w:rsid w:val="00AD624D"/>
    <w:rsid w:val="00B017C4"/>
    <w:rsid w:val="00B72572"/>
    <w:rsid w:val="00BE648C"/>
    <w:rsid w:val="00BF721C"/>
    <w:rsid w:val="00C01AA6"/>
    <w:rsid w:val="00C21054"/>
    <w:rsid w:val="00C242AE"/>
    <w:rsid w:val="00C9247F"/>
    <w:rsid w:val="00CA43CE"/>
    <w:rsid w:val="00CD70DA"/>
    <w:rsid w:val="00D2435F"/>
    <w:rsid w:val="00E457D1"/>
    <w:rsid w:val="00EB04F5"/>
    <w:rsid w:val="00ED6338"/>
    <w:rsid w:val="00F244AB"/>
    <w:rsid w:val="00F31BCE"/>
    <w:rsid w:val="00F36248"/>
    <w:rsid w:val="00F56F2F"/>
    <w:rsid w:val="00FB0461"/>
    <w:rsid w:val="00FB0E0B"/>
    <w:rsid w:val="03BB23AC"/>
    <w:rsid w:val="04CA4768"/>
    <w:rsid w:val="0A8B31CC"/>
    <w:rsid w:val="0DD3674A"/>
    <w:rsid w:val="11561326"/>
    <w:rsid w:val="122819FE"/>
    <w:rsid w:val="1A6B0943"/>
    <w:rsid w:val="1AE14356"/>
    <w:rsid w:val="1C341530"/>
    <w:rsid w:val="20B10F1B"/>
    <w:rsid w:val="21120CF6"/>
    <w:rsid w:val="22A27183"/>
    <w:rsid w:val="241C7B6F"/>
    <w:rsid w:val="246A06A1"/>
    <w:rsid w:val="27254C0D"/>
    <w:rsid w:val="2AA94267"/>
    <w:rsid w:val="2FDA2058"/>
    <w:rsid w:val="31B26A31"/>
    <w:rsid w:val="32F76382"/>
    <w:rsid w:val="366812C0"/>
    <w:rsid w:val="3A145757"/>
    <w:rsid w:val="3AE43A53"/>
    <w:rsid w:val="3C2123AD"/>
    <w:rsid w:val="408B4299"/>
    <w:rsid w:val="43B43B06"/>
    <w:rsid w:val="460A27D0"/>
    <w:rsid w:val="4AE12CE3"/>
    <w:rsid w:val="4C653BF0"/>
    <w:rsid w:val="4CBF493A"/>
    <w:rsid w:val="52710A5D"/>
    <w:rsid w:val="52F67C97"/>
    <w:rsid w:val="54947768"/>
    <w:rsid w:val="581A0B8C"/>
    <w:rsid w:val="5C4D667C"/>
    <w:rsid w:val="5C562A9A"/>
    <w:rsid w:val="5EE7024E"/>
    <w:rsid w:val="62EA69FE"/>
    <w:rsid w:val="645E3D84"/>
    <w:rsid w:val="6691661E"/>
    <w:rsid w:val="6ED8429D"/>
    <w:rsid w:val="70372243"/>
    <w:rsid w:val="70B328CC"/>
    <w:rsid w:val="746E0A10"/>
    <w:rsid w:val="7BA71497"/>
    <w:rsid w:val="7C6D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spacing w:before="60" w:after="60" w:line="320" w:lineRule="exact"/>
      <w:ind w:left="1400" w:leftChars="1400"/>
      <w:jc w:val="center"/>
    </w:pPr>
  </w:style>
  <w:style w:type="paragraph" w:styleId="4">
    <w:name w:val="Normal Indent"/>
    <w:next w:val="5"/>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Plain Text"/>
    <w:next w:val="6"/>
    <w:qFormat/>
    <w:uiPriority w:val="0"/>
    <w:pPr>
      <w:widowControl w:val="0"/>
      <w:jc w:val="both"/>
    </w:pPr>
    <w:rPr>
      <w:rFonts w:ascii="宋体" w:hAnsi="Courier New" w:eastAsia="宋体" w:cs="Courier New"/>
      <w:kern w:val="2"/>
      <w:sz w:val="21"/>
      <w:szCs w:val="21"/>
      <w:lang w:val="en-US" w:eastAsia="zh-CN" w:bidi="ar-SA"/>
    </w:rPr>
  </w:style>
  <w:style w:type="paragraph" w:styleId="6">
    <w:name w:val="Body Text"/>
    <w:next w:val="7"/>
    <w:qFormat/>
    <w:uiPriority w:val="0"/>
    <w:pPr>
      <w:widowControl w:val="0"/>
      <w:spacing w:line="320" w:lineRule="exact"/>
      <w:jc w:val="both"/>
    </w:pPr>
    <w:rPr>
      <w:rFonts w:ascii="宋体" w:hAnsi="宋体" w:eastAsia="宋体" w:cs="Times New Roman"/>
      <w:sz w:val="30"/>
      <w:szCs w:val="24"/>
      <w:lang w:val="en-US" w:eastAsia="zh-CN" w:bidi="ar-SA"/>
    </w:rPr>
  </w:style>
  <w:style w:type="paragraph" w:styleId="7">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annotation text"/>
    <w:basedOn w:val="1"/>
    <w:link w:val="26"/>
    <w:semiHidden/>
    <w:unhideWhenUsed/>
    <w:qFormat/>
    <w:uiPriority w:val="99"/>
    <w:pPr>
      <w:jc w:val="left"/>
    </w:pPr>
  </w:style>
  <w:style w:type="paragraph" w:styleId="9">
    <w:name w:val="Balloon Text"/>
    <w:basedOn w:val="1"/>
    <w:link w:val="28"/>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annotation subject"/>
    <w:basedOn w:val="8"/>
    <w:next w:val="8"/>
    <w:link w:val="27"/>
    <w:semiHidden/>
    <w:unhideWhenUsed/>
    <w:uiPriority w:val="99"/>
    <w:rPr>
      <w:b/>
      <w:bCs/>
    </w:rPr>
  </w:style>
  <w:style w:type="paragraph" w:styleId="14">
    <w:name w:val="Body Text First Indent"/>
    <w:unhideWhenUsed/>
    <w:qFormat/>
    <w:uiPriority w:val="99"/>
    <w:pPr>
      <w:widowControl w:val="0"/>
      <w:spacing w:line="320" w:lineRule="exact"/>
      <w:ind w:firstLine="420" w:firstLineChars="100"/>
      <w:jc w:val="both"/>
    </w:pPr>
    <w:rPr>
      <w:rFonts w:ascii="Times New Roman" w:hAnsi="Times New Roman" w:eastAsia="宋体" w:cs="Times New Roman"/>
      <w:kern w:val="2"/>
      <w:sz w:val="21"/>
      <w:szCs w:val="24"/>
      <w:lang w:val="en-US" w:eastAsia="zh-CN" w:bidi="ar-SA"/>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8">
    <w:name w:val="Strong"/>
    <w:basedOn w:val="17"/>
    <w:qFormat/>
    <w:uiPriority w:val="22"/>
    <w:rPr>
      <w:b/>
    </w:rPr>
  </w:style>
  <w:style w:type="character" w:styleId="19">
    <w:name w:val="Hyperlink"/>
    <w:basedOn w:val="17"/>
    <w:semiHidden/>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table" w:customStyle="1" w:styleId="23">
    <w:name w:val="网格型29"/>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24">
    <w:name w:val="Table Text"/>
    <w:semiHidden/>
    <w:qFormat/>
    <w:uiPriority w:val="0"/>
    <w:pPr>
      <w:widowControl w:val="0"/>
      <w:jc w:val="both"/>
    </w:pPr>
    <w:rPr>
      <w:rFonts w:ascii="宋体" w:hAnsi="宋体" w:eastAsia="宋体" w:cs="宋体"/>
      <w:kern w:val="2"/>
      <w:sz w:val="25"/>
      <w:szCs w:val="25"/>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批注文字 字符"/>
    <w:basedOn w:val="17"/>
    <w:link w:val="8"/>
    <w:semiHidden/>
    <w:qFormat/>
    <w:uiPriority w:val="99"/>
    <w:rPr>
      <w:rFonts w:asciiTheme="minorHAnsi" w:hAnsiTheme="minorHAnsi" w:eastAsiaTheme="minorEastAsia" w:cstheme="minorBidi"/>
      <w:kern w:val="2"/>
      <w:sz w:val="21"/>
      <w:szCs w:val="22"/>
    </w:rPr>
  </w:style>
  <w:style w:type="character" w:customStyle="1" w:styleId="27">
    <w:name w:val="批注主题 字符"/>
    <w:basedOn w:val="26"/>
    <w:link w:val="13"/>
    <w:semiHidden/>
    <w:qFormat/>
    <w:uiPriority w:val="99"/>
    <w:rPr>
      <w:rFonts w:asciiTheme="minorHAnsi" w:hAnsiTheme="minorHAnsi" w:eastAsiaTheme="minorEastAsia" w:cstheme="minorBidi"/>
      <w:b/>
      <w:bCs/>
      <w:kern w:val="2"/>
      <w:sz w:val="21"/>
      <w:szCs w:val="22"/>
    </w:rPr>
  </w:style>
  <w:style w:type="character" w:customStyle="1" w:styleId="28">
    <w:name w:val="批注框文本 字符"/>
    <w:basedOn w:val="17"/>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5056</Words>
  <Characters>5707</Characters>
  <Lines>43</Lines>
  <Paragraphs>12</Paragraphs>
  <TotalTime>46</TotalTime>
  <ScaleCrop>false</ScaleCrop>
  <LinksUpToDate>false</LinksUpToDate>
  <CharactersWithSpaces>5707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2024-06-26T08:17:00Z</dcterms:created>
  <dc:creator>Administrator</dc:creator>
  <cp:lastModifiedBy>ym</cp:lastModifiedBy>
  <dcterms:modified xsi:type="dcterms:W3CDTF">2025-10-10T07:58:03Z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eyJoZGlkIjoiMDU1NTYzMjc4ZDdlMzA2YmM5ZTQ5OTIwOGEyMzU0MDUiLCJ1c2VySWQiOiIzOTg5NDAzMzQifQ==</vt:lpwstr>
  </property>
  <property fmtid="{D5CDD505-2E9C-101B-9397-08002B2CF9AE}" pid="3" name="KSOProductBuildVer">
    <vt:lpwstr>2052-12.1.0.23125</vt:lpwstr>
  </property>
  <property fmtid="{D5CDD505-2E9C-101B-9397-08002B2CF9AE}" pid="4" name="ICV">
    <vt:lpwstr>5F744A739251450F8680334F7C6F004B_13</vt:lpwstr>
  </property>
</Properties>
</file>