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1B25" w14:textId="77777777" w:rsidR="00CB42DE" w:rsidRDefault="0008421B">
      <w:pPr>
        <w:autoSpaceDE w:val="0"/>
        <w:autoSpaceDN w:val="0"/>
        <w:adjustRightInd w:val="0"/>
        <w:spacing w:afterLines="50" w:after="156"/>
        <w:jc w:val="center"/>
        <w:rPr>
          <w:rFonts w:ascii="Arial" w:hAnsi="Arial" w:cs="Arial"/>
          <w:color w:val="000000"/>
          <w:kern w:val="0"/>
          <w:sz w:val="28"/>
          <w:szCs w:val="28"/>
        </w:rPr>
      </w:pPr>
      <w:r>
        <w:rPr>
          <w:rFonts w:ascii="Arial" w:hAnsi="Arial" w:cs="Arial"/>
          <w:color w:val="000000"/>
          <w:kern w:val="0"/>
          <w:sz w:val="28"/>
          <w:szCs w:val="28"/>
        </w:rPr>
        <w:t>证券代码：</w:t>
      </w:r>
      <w:r>
        <w:rPr>
          <w:rFonts w:ascii="Arial" w:hAnsi="Arial" w:cs="Arial"/>
          <w:color w:val="000000"/>
          <w:kern w:val="0"/>
          <w:sz w:val="28"/>
          <w:szCs w:val="28"/>
        </w:rPr>
        <w:t xml:space="preserve">300402     </w:t>
      </w:r>
      <w:r>
        <w:rPr>
          <w:rFonts w:ascii="Arial" w:hAnsi="Arial" w:cs="Arial"/>
          <w:color w:val="000000"/>
          <w:kern w:val="0"/>
          <w:sz w:val="28"/>
          <w:szCs w:val="28"/>
        </w:rPr>
        <w:t>证券简称：宝色股份</w:t>
      </w:r>
      <w:r>
        <w:rPr>
          <w:rFonts w:ascii="Arial" w:hAnsi="Arial" w:cs="Arial"/>
          <w:color w:val="000000"/>
          <w:kern w:val="0"/>
          <w:sz w:val="28"/>
          <w:szCs w:val="28"/>
        </w:rPr>
        <w:t xml:space="preserve">   </w:t>
      </w:r>
      <w:r>
        <w:rPr>
          <w:rFonts w:ascii="Arial" w:hAnsi="Arial" w:cs="Arial"/>
          <w:color w:val="000000"/>
          <w:kern w:val="0"/>
          <w:sz w:val="28"/>
          <w:szCs w:val="28"/>
        </w:rPr>
        <w:t>公告编号：</w:t>
      </w:r>
      <w:r>
        <w:rPr>
          <w:rFonts w:ascii="Arial" w:hAnsi="Arial" w:cs="Arial"/>
          <w:color w:val="000000"/>
          <w:kern w:val="0"/>
          <w:sz w:val="28"/>
          <w:szCs w:val="28"/>
        </w:rPr>
        <w:t>2025-051</w:t>
      </w:r>
    </w:p>
    <w:p w14:paraId="028CC1C1" w14:textId="77777777" w:rsidR="00CB42DE" w:rsidRDefault="0008421B">
      <w:pPr>
        <w:pStyle w:val="Default"/>
        <w:spacing w:beforeLines="50" w:before="156" w:line="480" w:lineRule="exact"/>
        <w:jc w:val="center"/>
        <w:rPr>
          <w:rFonts w:ascii="宋体" w:eastAsia="宋体" w:hAnsi="宋体" w:cs="Arial"/>
          <w:b/>
          <w:sz w:val="30"/>
          <w:szCs w:val="30"/>
        </w:rPr>
      </w:pPr>
      <w:r>
        <w:rPr>
          <w:rFonts w:ascii="宋体" w:eastAsia="宋体" w:hAnsi="宋体" w:cs="Arial"/>
          <w:b/>
          <w:sz w:val="30"/>
          <w:szCs w:val="30"/>
        </w:rPr>
        <w:t>南京宝色股份公司</w:t>
      </w:r>
    </w:p>
    <w:p w14:paraId="05A01B25" w14:textId="77777777" w:rsidR="00CB42DE" w:rsidRDefault="0008421B">
      <w:pPr>
        <w:pStyle w:val="Default"/>
        <w:spacing w:line="480" w:lineRule="exact"/>
        <w:jc w:val="center"/>
        <w:rPr>
          <w:rFonts w:ascii="宋体" w:eastAsia="宋体" w:hAnsi="宋体" w:cs="Arial"/>
          <w:b/>
          <w:sz w:val="30"/>
          <w:szCs w:val="30"/>
        </w:rPr>
      </w:pPr>
      <w:r>
        <w:rPr>
          <w:rFonts w:ascii="宋体" w:eastAsia="宋体" w:hAnsi="宋体" w:cs="Arial" w:hint="eastAsia"/>
          <w:b/>
          <w:sz w:val="30"/>
          <w:szCs w:val="30"/>
        </w:rPr>
        <w:t>关于控股股东增持公司</w:t>
      </w:r>
      <w:r>
        <w:rPr>
          <w:rFonts w:ascii="宋体" w:eastAsia="宋体" w:hAnsi="宋体" w:cs="Arial"/>
          <w:b/>
          <w:sz w:val="30"/>
          <w:szCs w:val="30"/>
        </w:rPr>
        <w:t>股份触及</w:t>
      </w:r>
      <w:r>
        <w:rPr>
          <w:rFonts w:ascii="宋体" w:eastAsia="宋体" w:hAnsi="宋体" w:cs="Arial" w:hint="eastAsia"/>
          <w:b/>
          <w:sz w:val="30"/>
          <w:szCs w:val="30"/>
        </w:rPr>
        <w:t>1</w:t>
      </w:r>
      <w:r>
        <w:rPr>
          <w:rFonts w:ascii="宋体" w:eastAsia="宋体" w:hAnsi="宋体" w:cs="Arial"/>
          <w:b/>
          <w:sz w:val="30"/>
          <w:szCs w:val="30"/>
        </w:rPr>
        <w:t>%整数倍</w:t>
      </w:r>
      <w:r>
        <w:rPr>
          <w:rFonts w:ascii="宋体" w:eastAsia="宋体" w:hAnsi="宋体" w:cs="Arial" w:hint="eastAsia"/>
          <w:b/>
          <w:sz w:val="30"/>
          <w:szCs w:val="30"/>
        </w:rPr>
        <w:t>暨</w:t>
      </w:r>
      <w:r>
        <w:rPr>
          <w:rFonts w:ascii="宋体" w:eastAsia="宋体" w:hAnsi="宋体" w:cs="Arial"/>
          <w:b/>
          <w:sz w:val="30"/>
          <w:szCs w:val="30"/>
        </w:rPr>
        <w:t>增持计划</w:t>
      </w:r>
    </w:p>
    <w:p w14:paraId="6C8C8BC2" w14:textId="77777777" w:rsidR="00CB42DE" w:rsidRDefault="0008421B">
      <w:pPr>
        <w:pStyle w:val="Default"/>
        <w:spacing w:afterLines="75" w:after="234" w:line="480" w:lineRule="exact"/>
        <w:jc w:val="center"/>
        <w:rPr>
          <w:rFonts w:ascii="宋体" w:eastAsia="宋体" w:hAnsi="宋体" w:cs="Arial"/>
          <w:b/>
          <w:sz w:val="30"/>
          <w:szCs w:val="30"/>
        </w:rPr>
      </w:pPr>
      <w:r>
        <w:rPr>
          <w:rFonts w:ascii="宋体" w:eastAsia="宋体" w:hAnsi="宋体" w:cs="Arial"/>
          <w:b/>
          <w:sz w:val="30"/>
          <w:szCs w:val="30"/>
        </w:rPr>
        <w:t>实施的进展公告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CB42DE" w14:paraId="59933679" w14:textId="77777777">
        <w:trPr>
          <w:trHeight w:val="1082"/>
          <w:jc w:val="center"/>
        </w:trPr>
        <w:tc>
          <w:tcPr>
            <w:tcW w:w="8685" w:type="dxa"/>
          </w:tcPr>
          <w:p w14:paraId="0176A114" w14:textId="77777777" w:rsidR="00CB42DE" w:rsidRDefault="0008421B">
            <w:pPr>
              <w:autoSpaceDE w:val="0"/>
              <w:autoSpaceDN w:val="0"/>
              <w:adjustRightInd w:val="0"/>
              <w:spacing w:line="480" w:lineRule="exact"/>
              <w:ind w:firstLineChars="200" w:firstLine="482"/>
              <w:jc w:val="left"/>
              <w:rPr>
                <w:b/>
                <w:sz w:val="24"/>
                <w:szCs w:val="24"/>
              </w:rPr>
            </w:pPr>
            <w:r>
              <w:rPr>
                <w:rFonts w:hint="eastAsia"/>
                <w:b/>
                <w:sz w:val="24"/>
                <w:szCs w:val="24"/>
              </w:rPr>
              <w:t>公司</w:t>
            </w:r>
            <w:r>
              <w:rPr>
                <w:b/>
                <w:sz w:val="24"/>
                <w:szCs w:val="24"/>
              </w:rPr>
              <w:t>控股股东</w:t>
            </w:r>
            <w:r>
              <w:rPr>
                <w:rFonts w:hint="eastAsia"/>
                <w:b/>
                <w:sz w:val="24"/>
                <w:szCs w:val="24"/>
              </w:rPr>
              <w:t>宝钛集团有限公司保证向本公司提供的信息内容真实、准确、完整，没有虚假记载、误导性陈述或重大遗漏。</w:t>
            </w:r>
          </w:p>
          <w:p w14:paraId="573368D0" w14:textId="77777777" w:rsidR="00CB42DE" w:rsidRDefault="0008421B">
            <w:pPr>
              <w:autoSpaceDE w:val="0"/>
              <w:autoSpaceDN w:val="0"/>
              <w:adjustRightInd w:val="0"/>
              <w:spacing w:line="480" w:lineRule="exact"/>
              <w:ind w:firstLineChars="200" w:firstLine="482"/>
              <w:jc w:val="left"/>
              <w:rPr>
                <w:b/>
                <w:sz w:val="24"/>
                <w:szCs w:val="24"/>
              </w:rPr>
            </w:pPr>
            <w:r>
              <w:rPr>
                <w:rFonts w:hint="eastAsia"/>
                <w:b/>
                <w:sz w:val="24"/>
                <w:szCs w:val="24"/>
              </w:rPr>
              <w:t>本公司及董事会全体成员保证公告内容与信息披露义务人提供的信息一致。</w:t>
            </w:r>
          </w:p>
        </w:tc>
      </w:tr>
    </w:tbl>
    <w:p w14:paraId="37AD1F71" w14:textId="0555C7E6" w:rsidR="00CB42DE" w:rsidRDefault="0008421B">
      <w:pPr>
        <w:spacing w:beforeLines="100" w:before="312"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南京宝色股份公司（以下简称“公司”）于</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sz w:val="24"/>
          <w:szCs w:val="24"/>
          <w:shd w:val="clear" w:color="auto" w:fill="FFFFFF"/>
        </w:rPr>
        <w:t>9</w:t>
      </w:r>
      <w:r>
        <w:rPr>
          <w:rFonts w:ascii="Arial" w:hAnsi="Arial" w:cs="Arial" w:hint="eastAsia"/>
          <w:sz w:val="24"/>
          <w:szCs w:val="24"/>
          <w:shd w:val="clear" w:color="auto" w:fill="FFFFFF"/>
        </w:rPr>
        <w:t>月</w:t>
      </w:r>
      <w:r>
        <w:rPr>
          <w:rFonts w:ascii="Arial" w:hAnsi="Arial" w:cs="Arial" w:hint="eastAsia"/>
          <w:sz w:val="24"/>
          <w:szCs w:val="24"/>
          <w:shd w:val="clear" w:color="auto" w:fill="FFFFFF"/>
        </w:rPr>
        <w:t>4</w:t>
      </w:r>
      <w:r>
        <w:rPr>
          <w:rFonts w:ascii="Arial" w:hAnsi="Arial" w:cs="Arial" w:hint="eastAsia"/>
          <w:sz w:val="24"/>
          <w:szCs w:val="24"/>
          <w:shd w:val="clear" w:color="auto" w:fill="FFFFFF"/>
        </w:rPr>
        <w:t>日</w:t>
      </w:r>
      <w:r>
        <w:rPr>
          <w:rFonts w:ascii="Arial" w:hAnsi="Arial" w:cs="Arial"/>
          <w:sz w:val="24"/>
          <w:szCs w:val="24"/>
          <w:shd w:val="clear" w:color="auto" w:fill="FFFFFF"/>
        </w:rPr>
        <w:t>收到控股股东宝钛集团有限公司</w:t>
      </w:r>
      <w:r>
        <w:rPr>
          <w:rFonts w:ascii="Arial" w:hAnsi="Arial" w:cs="Arial" w:hint="eastAsia"/>
          <w:sz w:val="24"/>
          <w:szCs w:val="24"/>
          <w:shd w:val="clear" w:color="auto" w:fill="FFFFFF"/>
        </w:rPr>
        <w:t>（以下简称“宝钛集团”）出具</w:t>
      </w:r>
      <w:r>
        <w:rPr>
          <w:rFonts w:ascii="Arial" w:hAnsi="Arial" w:cs="Arial"/>
          <w:sz w:val="24"/>
          <w:szCs w:val="24"/>
          <w:shd w:val="clear" w:color="auto" w:fill="FFFFFF"/>
        </w:rPr>
        <w:t>的《关于增持南京宝色</w:t>
      </w:r>
      <w:r>
        <w:rPr>
          <w:rFonts w:ascii="Arial" w:hAnsi="Arial" w:cs="Arial" w:hint="eastAsia"/>
          <w:sz w:val="24"/>
          <w:szCs w:val="24"/>
          <w:shd w:val="clear" w:color="auto" w:fill="FFFFFF"/>
        </w:rPr>
        <w:t>股份</w:t>
      </w:r>
      <w:r>
        <w:rPr>
          <w:rFonts w:ascii="Arial" w:hAnsi="Arial" w:cs="Arial"/>
          <w:sz w:val="24"/>
          <w:szCs w:val="24"/>
          <w:shd w:val="clear" w:color="auto" w:fill="FFFFFF"/>
        </w:rPr>
        <w:t>公司</w:t>
      </w:r>
      <w:r>
        <w:rPr>
          <w:rFonts w:ascii="Arial" w:hAnsi="Arial" w:cs="Arial" w:hint="eastAsia"/>
          <w:sz w:val="24"/>
          <w:szCs w:val="24"/>
          <w:shd w:val="clear" w:color="auto" w:fill="FFFFFF"/>
        </w:rPr>
        <w:t>股份</w:t>
      </w:r>
      <w:r>
        <w:rPr>
          <w:rFonts w:ascii="Arial" w:hAnsi="Arial" w:cs="Arial"/>
          <w:sz w:val="24"/>
          <w:szCs w:val="24"/>
          <w:shd w:val="clear" w:color="auto" w:fill="FFFFFF"/>
        </w:rPr>
        <w:t>进展情况的告知函》，现将有关情况公告如下：</w:t>
      </w:r>
    </w:p>
    <w:p w14:paraId="4D329F4E" w14:textId="77777777" w:rsidR="00CB42DE" w:rsidRDefault="0008421B">
      <w:pPr>
        <w:spacing w:beforeLines="50" w:before="156"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一、</w:t>
      </w:r>
      <w:r>
        <w:rPr>
          <w:rFonts w:ascii="Arial" w:hAnsi="Arial" w:cs="Arial"/>
          <w:b/>
          <w:sz w:val="24"/>
          <w:szCs w:val="24"/>
          <w:shd w:val="clear" w:color="auto" w:fill="FFFFFF"/>
        </w:rPr>
        <w:t>本次增持计划的基本情况</w:t>
      </w:r>
    </w:p>
    <w:p w14:paraId="42A1EACE" w14:textId="77777777" w:rsidR="00CB42DE" w:rsidRDefault="0008421B">
      <w:pPr>
        <w:spacing w:line="360" w:lineRule="auto"/>
        <w:ind w:firstLineChars="200" w:firstLine="480"/>
        <w:rPr>
          <w:rFonts w:ascii="Arial" w:hAnsi="Arial" w:cs="Arial"/>
          <w:bCs/>
          <w:sz w:val="24"/>
          <w:szCs w:val="24"/>
        </w:rPr>
      </w:pPr>
      <w:r>
        <w:rPr>
          <w:rFonts w:ascii="Arial" w:hAnsi="Arial" w:cs="Arial" w:hint="eastAsia"/>
          <w:sz w:val="24"/>
          <w:szCs w:val="24"/>
          <w:shd w:val="clear" w:color="auto" w:fill="FFFFFF"/>
        </w:rPr>
        <w:t>公司控股股东</w:t>
      </w:r>
      <w:r>
        <w:rPr>
          <w:rFonts w:ascii="Arial" w:hAnsi="Arial" w:cs="Arial"/>
          <w:sz w:val="24"/>
          <w:szCs w:val="24"/>
          <w:shd w:val="clear" w:color="auto" w:fill="FFFFFF"/>
        </w:rPr>
        <w:t>宝钛集团</w:t>
      </w:r>
      <w:r>
        <w:rPr>
          <w:rFonts w:ascii="Arial" w:hAnsi="Arial" w:cs="Arial" w:hint="eastAsia"/>
          <w:sz w:val="24"/>
          <w:szCs w:val="24"/>
          <w:shd w:val="clear" w:color="auto" w:fill="FFFFFF"/>
        </w:rPr>
        <w:t>基于对公司长期投资价值的认可以及未来持续稳定发展的信心，计划自</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4</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10</w:t>
      </w:r>
      <w:r>
        <w:rPr>
          <w:rFonts w:ascii="Arial" w:hAnsi="Arial" w:cs="Arial" w:hint="eastAsia"/>
          <w:sz w:val="24"/>
          <w:szCs w:val="24"/>
          <w:shd w:val="clear" w:color="auto" w:fill="FFFFFF"/>
        </w:rPr>
        <w:t>日起</w:t>
      </w:r>
      <w:r>
        <w:rPr>
          <w:rFonts w:ascii="Arial" w:hAnsi="Arial" w:cs="Arial" w:hint="eastAsia"/>
          <w:sz w:val="24"/>
          <w:szCs w:val="24"/>
          <w:shd w:val="clear" w:color="auto" w:fill="FFFFFF"/>
        </w:rPr>
        <w:t>6</w:t>
      </w:r>
      <w:r>
        <w:rPr>
          <w:rFonts w:ascii="Arial" w:hAnsi="Arial" w:cs="Arial" w:hint="eastAsia"/>
          <w:sz w:val="24"/>
          <w:szCs w:val="24"/>
          <w:shd w:val="clear" w:color="auto" w:fill="FFFFFF"/>
        </w:rPr>
        <w:t>个月内，以自有资金与股票增持专项贷款相结合的方式通过深圳证券交易所集中竞价交易方式增持公司股份，累计增持金额不低于人民币</w:t>
      </w:r>
      <w:r>
        <w:rPr>
          <w:rFonts w:ascii="Arial" w:hAnsi="Arial" w:cs="Arial" w:hint="eastAsia"/>
          <w:sz w:val="24"/>
          <w:szCs w:val="24"/>
          <w:shd w:val="clear" w:color="auto" w:fill="FFFFFF"/>
        </w:rPr>
        <w:t>5,000</w:t>
      </w:r>
      <w:r>
        <w:rPr>
          <w:rFonts w:ascii="Arial" w:hAnsi="Arial" w:cs="Arial" w:hint="eastAsia"/>
          <w:sz w:val="24"/>
          <w:szCs w:val="24"/>
          <w:shd w:val="clear" w:color="auto" w:fill="FFFFFF"/>
        </w:rPr>
        <w:t>万元且不超过人民币</w:t>
      </w:r>
      <w:r>
        <w:rPr>
          <w:rFonts w:ascii="Arial" w:hAnsi="Arial" w:cs="Arial" w:hint="eastAsia"/>
          <w:sz w:val="24"/>
          <w:szCs w:val="24"/>
          <w:shd w:val="clear" w:color="auto" w:fill="FFFFFF"/>
        </w:rPr>
        <w:t>10,000</w:t>
      </w:r>
      <w:r>
        <w:rPr>
          <w:rFonts w:ascii="Arial" w:hAnsi="Arial" w:cs="Arial" w:hint="eastAsia"/>
          <w:sz w:val="24"/>
          <w:szCs w:val="24"/>
          <w:shd w:val="clear" w:color="auto" w:fill="FFFFFF"/>
        </w:rPr>
        <w:t>万元，累计增持比例不超过公司总股本的</w:t>
      </w:r>
      <w:r>
        <w:rPr>
          <w:rFonts w:ascii="Arial" w:hAnsi="Arial" w:cs="Arial" w:hint="eastAsia"/>
          <w:sz w:val="24"/>
          <w:szCs w:val="24"/>
          <w:shd w:val="clear" w:color="auto" w:fill="FFFFFF"/>
        </w:rPr>
        <w:t>2%</w:t>
      </w:r>
      <w:r>
        <w:rPr>
          <w:rFonts w:ascii="Arial" w:hAnsi="Arial" w:cs="Arial" w:hint="eastAsia"/>
          <w:sz w:val="24"/>
          <w:szCs w:val="24"/>
          <w:shd w:val="clear" w:color="auto" w:fill="FFFFFF"/>
        </w:rPr>
        <w:t>。</w:t>
      </w:r>
      <w:r>
        <w:rPr>
          <w:rFonts w:ascii="Arial" w:hAnsi="Arial" w:cs="Arial" w:hint="eastAsia"/>
          <w:bCs/>
          <w:sz w:val="24"/>
          <w:szCs w:val="24"/>
        </w:rPr>
        <w:t>本次增持计划未设定价格区间，宝钛集团将基于对公司股票的</w:t>
      </w:r>
      <w:r>
        <w:rPr>
          <w:rFonts w:ascii="Arial" w:hAnsi="Arial" w:cs="Arial"/>
          <w:bCs/>
          <w:sz w:val="24"/>
          <w:szCs w:val="24"/>
        </w:rPr>
        <w:t>内在价值</w:t>
      </w:r>
      <w:r>
        <w:rPr>
          <w:rFonts w:ascii="Arial" w:hAnsi="Arial" w:cs="Arial" w:hint="eastAsia"/>
          <w:bCs/>
          <w:sz w:val="24"/>
          <w:szCs w:val="24"/>
        </w:rPr>
        <w:t>、</w:t>
      </w:r>
      <w:r>
        <w:rPr>
          <w:rFonts w:ascii="Arial" w:hAnsi="Arial" w:cs="Arial"/>
          <w:bCs/>
          <w:sz w:val="24"/>
          <w:szCs w:val="24"/>
        </w:rPr>
        <w:t>市场价格走势等因素实施增持计划。</w:t>
      </w:r>
      <w:r>
        <w:rPr>
          <w:rFonts w:ascii="Arial" w:hAnsi="Arial" w:cs="Arial" w:hint="eastAsia"/>
          <w:sz w:val="24"/>
          <w:szCs w:val="24"/>
          <w:shd w:val="clear" w:color="auto" w:fill="FFFFFF"/>
        </w:rPr>
        <w:t>具体</w:t>
      </w:r>
      <w:r>
        <w:rPr>
          <w:rFonts w:ascii="Arial" w:hAnsi="Arial" w:cs="Arial"/>
          <w:sz w:val="24"/>
          <w:szCs w:val="24"/>
          <w:shd w:val="clear" w:color="auto" w:fill="FFFFFF"/>
        </w:rPr>
        <w:t>内容</w:t>
      </w:r>
      <w:r>
        <w:rPr>
          <w:rFonts w:ascii="Arial" w:hAnsi="Arial" w:cs="Arial" w:hint="eastAsia"/>
          <w:sz w:val="24"/>
          <w:szCs w:val="24"/>
          <w:shd w:val="clear" w:color="auto" w:fill="FFFFFF"/>
        </w:rPr>
        <w:t>详见</w:t>
      </w:r>
      <w:r>
        <w:rPr>
          <w:rFonts w:ascii="Arial" w:hAnsi="Arial" w:cs="Arial"/>
          <w:sz w:val="24"/>
          <w:szCs w:val="24"/>
          <w:shd w:val="clear" w:color="auto" w:fill="FFFFFF"/>
        </w:rPr>
        <w:t>公司于</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4</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10</w:t>
      </w:r>
      <w:r>
        <w:rPr>
          <w:rFonts w:ascii="Arial" w:hAnsi="Arial" w:cs="Arial" w:hint="eastAsia"/>
          <w:sz w:val="24"/>
          <w:szCs w:val="24"/>
          <w:shd w:val="clear" w:color="auto" w:fill="FFFFFF"/>
        </w:rPr>
        <w:t>日、</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4</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14</w:t>
      </w:r>
      <w:r>
        <w:rPr>
          <w:rFonts w:ascii="Arial" w:hAnsi="Arial" w:cs="Arial" w:hint="eastAsia"/>
          <w:sz w:val="24"/>
          <w:szCs w:val="24"/>
          <w:shd w:val="clear" w:color="auto" w:fill="FFFFFF"/>
        </w:rPr>
        <w:t>日在</w:t>
      </w:r>
      <w:r>
        <w:rPr>
          <w:rFonts w:ascii="Arial" w:hAnsi="Arial" w:cs="Arial"/>
          <w:sz w:val="24"/>
          <w:szCs w:val="24"/>
          <w:shd w:val="clear" w:color="auto" w:fill="FFFFFF"/>
        </w:rPr>
        <w:t>巨潮资讯网上</w:t>
      </w:r>
      <w:r>
        <w:rPr>
          <w:rFonts w:ascii="Arial" w:hAnsi="Arial" w:cs="Arial" w:hint="eastAsia"/>
          <w:sz w:val="24"/>
          <w:szCs w:val="24"/>
          <w:shd w:val="clear" w:color="auto" w:fill="FFFFFF"/>
        </w:rPr>
        <w:t>披露的《关于控股股东增持公司股份计划的公告》（公告编号</w:t>
      </w:r>
      <w:r>
        <w:rPr>
          <w:rFonts w:ascii="Arial" w:hAnsi="Arial" w:cs="Arial"/>
          <w:sz w:val="24"/>
          <w:szCs w:val="24"/>
          <w:shd w:val="clear" w:color="auto" w:fill="FFFFFF"/>
        </w:rPr>
        <w:t>：</w:t>
      </w:r>
      <w:r>
        <w:rPr>
          <w:rFonts w:ascii="Arial" w:hAnsi="Arial" w:cs="Arial" w:hint="eastAsia"/>
          <w:sz w:val="24"/>
          <w:szCs w:val="24"/>
          <w:shd w:val="clear" w:color="auto" w:fill="FFFFFF"/>
        </w:rPr>
        <w:t>2025</w:t>
      </w:r>
      <w:r>
        <w:rPr>
          <w:rFonts w:ascii="Arial" w:hAnsi="Arial" w:cs="Arial"/>
          <w:sz w:val="24"/>
          <w:szCs w:val="24"/>
          <w:shd w:val="clear" w:color="auto" w:fill="FFFFFF"/>
        </w:rPr>
        <w:t>-023</w:t>
      </w:r>
      <w:r>
        <w:rPr>
          <w:rFonts w:ascii="Arial" w:hAnsi="Arial" w:cs="Arial"/>
          <w:sz w:val="24"/>
          <w:szCs w:val="24"/>
          <w:shd w:val="clear" w:color="auto" w:fill="FFFFFF"/>
        </w:rPr>
        <w:t>）</w:t>
      </w:r>
      <w:r>
        <w:rPr>
          <w:rFonts w:ascii="Arial" w:hAnsi="Arial" w:cs="Arial" w:hint="eastAsia"/>
          <w:sz w:val="24"/>
          <w:szCs w:val="24"/>
          <w:shd w:val="clear" w:color="auto" w:fill="FFFFFF"/>
        </w:rPr>
        <w:t>《关于控股股东增持公司股份获得专项贷款承诺函的公告》（公告编号</w:t>
      </w:r>
      <w:r>
        <w:rPr>
          <w:rFonts w:ascii="Arial" w:hAnsi="Arial" w:cs="Arial"/>
          <w:sz w:val="24"/>
          <w:szCs w:val="24"/>
          <w:shd w:val="clear" w:color="auto" w:fill="FFFFFF"/>
        </w:rPr>
        <w:t>：</w:t>
      </w:r>
      <w:r>
        <w:rPr>
          <w:rFonts w:ascii="Arial" w:hAnsi="Arial" w:cs="Arial" w:hint="eastAsia"/>
          <w:sz w:val="24"/>
          <w:szCs w:val="24"/>
          <w:shd w:val="clear" w:color="auto" w:fill="FFFFFF"/>
        </w:rPr>
        <w:t>2025</w:t>
      </w:r>
      <w:r>
        <w:rPr>
          <w:rFonts w:ascii="Arial" w:hAnsi="Arial" w:cs="Arial"/>
          <w:sz w:val="24"/>
          <w:szCs w:val="24"/>
          <w:shd w:val="clear" w:color="auto" w:fill="FFFFFF"/>
        </w:rPr>
        <w:t>-024</w:t>
      </w:r>
      <w:r>
        <w:rPr>
          <w:rFonts w:ascii="Arial" w:hAnsi="Arial" w:cs="Arial"/>
          <w:sz w:val="24"/>
          <w:szCs w:val="24"/>
          <w:shd w:val="clear" w:color="auto" w:fill="FFFFFF"/>
        </w:rPr>
        <w:t>）</w:t>
      </w:r>
      <w:r>
        <w:rPr>
          <w:rFonts w:ascii="Arial" w:hAnsi="Arial" w:cs="Arial" w:hint="eastAsia"/>
          <w:sz w:val="24"/>
          <w:szCs w:val="24"/>
          <w:shd w:val="clear" w:color="auto" w:fill="FFFFFF"/>
        </w:rPr>
        <w:t>。</w:t>
      </w:r>
    </w:p>
    <w:p w14:paraId="279149F0" w14:textId="77777777" w:rsidR="00CB42DE" w:rsidRDefault="0008421B">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二、</w:t>
      </w:r>
      <w:r>
        <w:rPr>
          <w:rFonts w:ascii="Arial" w:hAnsi="Arial" w:cs="Arial"/>
          <w:b/>
          <w:sz w:val="24"/>
          <w:szCs w:val="24"/>
          <w:shd w:val="clear" w:color="auto" w:fill="FFFFFF"/>
        </w:rPr>
        <w:t>本次增持计划的</w:t>
      </w:r>
      <w:r>
        <w:rPr>
          <w:rFonts w:ascii="Arial" w:hAnsi="Arial" w:cs="Arial" w:hint="eastAsia"/>
          <w:b/>
          <w:sz w:val="24"/>
          <w:szCs w:val="24"/>
          <w:shd w:val="clear" w:color="auto" w:fill="FFFFFF"/>
        </w:rPr>
        <w:t>进展情况</w:t>
      </w:r>
    </w:p>
    <w:p w14:paraId="4340E42C" w14:textId="77777777" w:rsidR="00CB42DE" w:rsidRDefault="0008421B">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 xml:space="preserve">2025 </w:t>
      </w:r>
      <w:r>
        <w:rPr>
          <w:rFonts w:ascii="Arial" w:hAnsi="Arial" w:cs="Arial" w:hint="eastAsia"/>
          <w:sz w:val="24"/>
          <w:szCs w:val="24"/>
          <w:shd w:val="clear" w:color="auto" w:fill="FFFFFF"/>
        </w:rPr>
        <w:t>年</w:t>
      </w:r>
      <w:r>
        <w:rPr>
          <w:rFonts w:ascii="Arial" w:hAnsi="Arial" w:cs="Arial" w:hint="eastAsia"/>
          <w:sz w:val="24"/>
          <w:szCs w:val="24"/>
          <w:shd w:val="clear" w:color="auto" w:fill="FFFFFF"/>
        </w:rPr>
        <w:t xml:space="preserve"> 4</w:t>
      </w:r>
      <w:r>
        <w:rPr>
          <w:rFonts w:ascii="Arial" w:hAnsi="Arial" w:cs="Arial" w:hint="eastAsia"/>
          <w:sz w:val="24"/>
          <w:szCs w:val="24"/>
          <w:shd w:val="clear" w:color="auto" w:fill="FFFFFF"/>
        </w:rPr>
        <w:t>月</w:t>
      </w:r>
      <w:r>
        <w:rPr>
          <w:rFonts w:ascii="Arial" w:hAnsi="Arial" w:cs="Arial" w:hint="eastAsia"/>
          <w:sz w:val="24"/>
          <w:szCs w:val="24"/>
          <w:shd w:val="clear" w:color="auto" w:fill="FFFFFF"/>
        </w:rPr>
        <w:t xml:space="preserve"> 10 </w:t>
      </w:r>
      <w:r>
        <w:rPr>
          <w:rFonts w:ascii="Arial" w:hAnsi="Arial" w:cs="Arial" w:hint="eastAsia"/>
          <w:sz w:val="24"/>
          <w:szCs w:val="24"/>
          <w:shd w:val="clear" w:color="auto" w:fill="FFFFFF"/>
        </w:rPr>
        <w:t>日至</w:t>
      </w:r>
      <w:r>
        <w:rPr>
          <w:rFonts w:ascii="Arial" w:hAnsi="Arial" w:cs="Arial" w:hint="eastAsia"/>
          <w:sz w:val="24"/>
          <w:szCs w:val="24"/>
          <w:shd w:val="clear" w:color="auto" w:fill="FFFFFF"/>
        </w:rPr>
        <w:t xml:space="preserve"> 2025 </w:t>
      </w:r>
      <w:r>
        <w:rPr>
          <w:rFonts w:ascii="Arial" w:hAnsi="Arial" w:cs="Arial" w:hint="eastAsia"/>
          <w:sz w:val="24"/>
          <w:szCs w:val="24"/>
          <w:shd w:val="clear" w:color="auto" w:fill="FFFFFF"/>
        </w:rPr>
        <w:t>年</w:t>
      </w:r>
      <w:r>
        <w:rPr>
          <w:rFonts w:ascii="Arial" w:hAnsi="Arial" w:cs="Arial" w:hint="eastAsia"/>
          <w:sz w:val="24"/>
          <w:szCs w:val="24"/>
          <w:shd w:val="clear" w:color="auto" w:fill="FFFFFF"/>
        </w:rPr>
        <w:t xml:space="preserve"> 7 </w:t>
      </w:r>
      <w:r>
        <w:rPr>
          <w:rFonts w:ascii="Arial" w:hAnsi="Arial" w:cs="Arial" w:hint="eastAsia"/>
          <w:sz w:val="24"/>
          <w:szCs w:val="24"/>
          <w:shd w:val="clear" w:color="auto" w:fill="FFFFFF"/>
        </w:rPr>
        <w:t>月</w:t>
      </w:r>
      <w:r>
        <w:rPr>
          <w:rFonts w:ascii="Arial" w:hAnsi="Arial" w:cs="Arial" w:hint="eastAsia"/>
          <w:sz w:val="24"/>
          <w:szCs w:val="24"/>
          <w:shd w:val="clear" w:color="auto" w:fill="FFFFFF"/>
        </w:rPr>
        <w:t xml:space="preserve"> 10 </w:t>
      </w:r>
      <w:r>
        <w:rPr>
          <w:rFonts w:ascii="Arial" w:hAnsi="Arial" w:cs="Arial" w:hint="eastAsia"/>
          <w:sz w:val="24"/>
          <w:szCs w:val="24"/>
          <w:shd w:val="clear" w:color="auto" w:fill="FFFFFF"/>
        </w:rPr>
        <w:t>日期间，宝钛集团通过深圳证券交易所交易系统以集中竞价方式累计增持公司股份</w:t>
      </w:r>
      <w:r>
        <w:rPr>
          <w:rFonts w:ascii="Arial" w:hAnsi="Arial" w:cs="Arial" w:hint="eastAsia"/>
          <w:sz w:val="24"/>
          <w:szCs w:val="24"/>
          <w:shd w:val="clear" w:color="auto" w:fill="FFFFFF"/>
        </w:rPr>
        <w:t xml:space="preserve"> 1,550,900 </w:t>
      </w:r>
      <w:r>
        <w:rPr>
          <w:rFonts w:ascii="Arial" w:hAnsi="Arial" w:cs="Arial" w:hint="eastAsia"/>
          <w:sz w:val="24"/>
          <w:szCs w:val="24"/>
          <w:shd w:val="clear" w:color="auto" w:fill="FFFFFF"/>
        </w:rPr>
        <w:t>股，占公司总股本的</w:t>
      </w:r>
      <w:r>
        <w:rPr>
          <w:rFonts w:ascii="Arial" w:hAnsi="Arial" w:cs="Arial" w:hint="eastAsia"/>
          <w:sz w:val="24"/>
          <w:szCs w:val="24"/>
          <w:shd w:val="clear" w:color="auto" w:fill="FFFFFF"/>
        </w:rPr>
        <w:t>0.63%</w:t>
      </w:r>
      <w:r>
        <w:rPr>
          <w:rFonts w:ascii="Arial" w:hAnsi="Arial" w:cs="Arial" w:hint="eastAsia"/>
          <w:sz w:val="24"/>
          <w:szCs w:val="24"/>
          <w:shd w:val="clear" w:color="auto" w:fill="FFFFFF"/>
        </w:rPr>
        <w:t>，累计增持金额为</w:t>
      </w:r>
      <w:r>
        <w:rPr>
          <w:rFonts w:ascii="Arial" w:hAnsi="Arial" w:cs="Arial" w:hint="eastAsia"/>
          <w:sz w:val="24"/>
          <w:szCs w:val="24"/>
          <w:shd w:val="clear" w:color="auto" w:fill="FFFFFF"/>
        </w:rPr>
        <w:t xml:space="preserve">27,697,457.00 </w:t>
      </w:r>
      <w:r>
        <w:rPr>
          <w:rFonts w:ascii="Arial" w:hAnsi="Arial" w:cs="Arial" w:hint="eastAsia"/>
          <w:sz w:val="24"/>
          <w:szCs w:val="24"/>
          <w:shd w:val="clear" w:color="auto" w:fill="FFFFFF"/>
        </w:rPr>
        <w:t>元（不含交易费用），增持后宝钛集团持有公司股份</w:t>
      </w:r>
      <w:r>
        <w:rPr>
          <w:rFonts w:ascii="Arial" w:hAnsi="Arial" w:cs="Arial" w:hint="eastAsia"/>
          <w:sz w:val="24"/>
          <w:szCs w:val="24"/>
          <w:shd w:val="clear" w:color="auto" w:fill="FFFFFF"/>
        </w:rPr>
        <w:t xml:space="preserve">117,750,900 </w:t>
      </w:r>
      <w:r>
        <w:rPr>
          <w:rFonts w:ascii="Arial" w:hAnsi="Arial" w:cs="Arial" w:hint="eastAsia"/>
          <w:sz w:val="24"/>
          <w:szCs w:val="24"/>
          <w:shd w:val="clear" w:color="auto" w:fill="FFFFFF"/>
        </w:rPr>
        <w:t>股，占公司总股本的</w:t>
      </w:r>
      <w:r>
        <w:rPr>
          <w:rFonts w:ascii="Arial" w:hAnsi="Arial" w:cs="Arial" w:hint="eastAsia"/>
          <w:sz w:val="24"/>
          <w:szCs w:val="24"/>
          <w:shd w:val="clear" w:color="auto" w:fill="FFFFFF"/>
        </w:rPr>
        <w:t xml:space="preserve"> 47.71%</w:t>
      </w:r>
      <w:r>
        <w:rPr>
          <w:rFonts w:ascii="Arial" w:hAnsi="Arial" w:cs="Arial" w:hint="eastAsia"/>
          <w:sz w:val="24"/>
          <w:szCs w:val="24"/>
          <w:shd w:val="clear" w:color="auto" w:fill="FFFFFF"/>
        </w:rPr>
        <w:t>。具体内容详见公司于</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7</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11</w:t>
      </w:r>
      <w:r>
        <w:rPr>
          <w:rFonts w:ascii="Arial" w:hAnsi="Arial" w:cs="Arial" w:hint="eastAsia"/>
          <w:sz w:val="24"/>
          <w:szCs w:val="24"/>
          <w:shd w:val="clear" w:color="auto" w:fill="FFFFFF"/>
        </w:rPr>
        <w:t>日在巨潮资讯网上披露的《关于控股股东增持股份计划实施期限过半的进展公告》（公告编号：</w:t>
      </w:r>
      <w:r>
        <w:rPr>
          <w:rFonts w:ascii="Arial" w:hAnsi="Arial" w:cs="Arial" w:hint="eastAsia"/>
          <w:sz w:val="24"/>
          <w:szCs w:val="24"/>
          <w:shd w:val="clear" w:color="auto" w:fill="FFFFFF"/>
        </w:rPr>
        <w:t>2025-036</w:t>
      </w:r>
      <w:r>
        <w:rPr>
          <w:rFonts w:ascii="Arial" w:hAnsi="Arial" w:cs="Arial" w:hint="eastAsia"/>
          <w:sz w:val="24"/>
          <w:szCs w:val="24"/>
          <w:shd w:val="clear" w:color="auto" w:fill="FFFFFF"/>
        </w:rPr>
        <w:t>）。</w:t>
      </w:r>
    </w:p>
    <w:p w14:paraId="694A5AD7" w14:textId="2192751B" w:rsidR="00CB42DE" w:rsidRDefault="0008421B">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lastRenderedPageBreak/>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9</w:t>
      </w:r>
      <w:r>
        <w:rPr>
          <w:rFonts w:ascii="Arial" w:hAnsi="Arial" w:cs="Arial" w:hint="eastAsia"/>
          <w:sz w:val="24"/>
          <w:szCs w:val="24"/>
          <w:shd w:val="clear" w:color="auto" w:fill="FFFFFF"/>
        </w:rPr>
        <w:t>月</w:t>
      </w:r>
      <w:r>
        <w:rPr>
          <w:rFonts w:ascii="Arial" w:hAnsi="Arial" w:cs="Arial" w:hint="eastAsia"/>
          <w:sz w:val="24"/>
          <w:szCs w:val="24"/>
          <w:shd w:val="clear" w:color="auto" w:fill="FFFFFF"/>
        </w:rPr>
        <w:t>4</w:t>
      </w:r>
      <w:r>
        <w:rPr>
          <w:rFonts w:ascii="Arial" w:hAnsi="Arial" w:cs="Arial" w:hint="eastAsia"/>
          <w:sz w:val="24"/>
          <w:szCs w:val="24"/>
          <w:shd w:val="clear" w:color="auto" w:fill="FFFFFF"/>
        </w:rPr>
        <w:t>日</w:t>
      </w:r>
      <w:r>
        <w:rPr>
          <w:rFonts w:ascii="Arial" w:hAnsi="Arial" w:cs="Arial"/>
          <w:sz w:val="24"/>
          <w:szCs w:val="24"/>
          <w:shd w:val="clear" w:color="auto" w:fill="FFFFFF"/>
        </w:rPr>
        <w:t>，公司收到</w:t>
      </w:r>
      <w:r>
        <w:rPr>
          <w:rFonts w:ascii="Arial" w:hAnsi="Arial" w:cs="Arial" w:hint="eastAsia"/>
          <w:sz w:val="24"/>
          <w:szCs w:val="24"/>
          <w:shd w:val="clear" w:color="auto" w:fill="FFFFFF"/>
        </w:rPr>
        <w:t>宝钛集团</w:t>
      </w:r>
      <w:r w:rsidR="005F6CDD">
        <w:rPr>
          <w:rFonts w:ascii="Arial" w:hAnsi="Arial" w:cs="Arial" w:hint="eastAsia"/>
          <w:sz w:val="24"/>
          <w:szCs w:val="24"/>
          <w:shd w:val="clear" w:color="auto" w:fill="FFFFFF"/>
        </w:rPr>
        <w:t>出</w:t>
      </w:r>
      <w:r>
        <w:rPr>
          <w:rFonts w:ascii="Arial" w:hAnsi="Arial" w:cs="Arial" w:hint="eastAsia"/>
          <w:sz w:val="24"/>
          <w:szCs w:val="24"/>
          <w:shd w:val="clear" w:color="auto" w:fill="FFFFFF"/>
        </w:rPr>
        <w:t>具</w:t>
      </w:r>
      <w:r>
        <w:rPr>
          <w:rFonts w:ascii="Arial" w:hAnsi="Arial" w:cs="Arial"/>
          <w:sz w:val="24"/>
          <w:szCs w:val="24"/>
          <w:shd w:val="clear" w:color="auto" w:fill="FFFFFF"/>
        </w:rPr>
        <w:t>的《关于增持南京宝色</w:t>
      </w:r>
      <w:r>
        <w:rPr>
          <w:rFonts w:ascii="Arial" w:hAnsi="Arial" w:cs="Arial" w:hint="eastAsia"/>
          <w:sz w:val="24"/>
          <w:szCs w:val="24"/>
          <w:shd w:val="clear" w:color="auto" w:fill="FFFFFF"/>
        </w:rPr>
        <w:t>股份</w:t>
      </w:r>
      <w:r>
        <w:rPr>
          <w:rFonts w:ascii="Arial" w:hAnsi="Arial" w:cs="Arial"/>
          <w:sz w:val="24"/>
          <w:szCs w:val="24"/>
          <w:shd w:val="clear" w:color="auto" w:fill="FFFFFF"/>
        </w:rPr>
        <w:t>公司</w:t>
      </w:r>
      <w:r>
        <w:rPr>
          <w:rFonts w:ascii="Arial" w:hAnsi="Arial" w:cs="Arial" w:hint="eastAsia"/>
          <w:sz w:val="24"/>
          <w:szCs w:val="24"/>
          <w:shd w:val="clear" w:color="auto" w:fill="FFFFFF"/>
        </w:rPr>
        <w:t>股份</w:t>
      </w:r>
      <w:r>
        <w:rPr>
          <w:rFonts w:ascii="Arial" w:hAnsi="Arial" w:cs="Arial"/>
          <w:sz w:val="24"/>
          <w:szCs w:val="24"/>
          <w:shd w:val="clear" w:color="auto" w:fill="FFFFFF"/>
        </w:rPr>
        <w:t>进展情况的告知函》</w:t>
      </w:r>
      <w:r>
        <w:rPr>
          <w:rFonts w:ascii="Arial" w:hAnsi="Arial" w:cs="Arial" w:hint="eastAsia"/>
          <w:sz w:val="24"/>
          <w:szCs w:val="24"/>
          <w:shd w:val="clear" w:color="auto" w:fill="FFFFFF"/>
        </w:rPr>
        <w:t>。宝钛集团</w:t>
      </w:r>
      <w:r>
        <w:rPr>
          <w:rFonts w:ascii="Arial" w:hAnsi="Arial" w:cs="Arial"/>
          <w:sz w:val="24"/>
          <w:szCs w:val="24"/>
          <w:shd w:val="clear" w:color="auto" w:fill="FFFFFF"/>
        </w:rPr>
        <w:t>于</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7</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11</w:t>
      </w:r>
      <w:r>
        <w:rPr>
          <w:rFonts w:ascii="Arial" w:hAnsi="Arial" w:cs="Arial" w:hint="eastAsia"/>
          <w:sz w:val="24"/>
          <w:szCs w:val="24"/>
          <w:shd w:val="clear" w:color="auto" w:fill="FFFFFF"/>
        </w:rPr>
        <w:t>日</w:t>
      </w:r>
      <w:r>
        <w:rPr>
          <w:rFonts w:ascii="Arial" w:hAnsi="Arial" w:cs="Arial"/>
          <w:sz w:val="24"/>
          <w:szCs w:val="24"/>
          <w:shd w:val="clear" w:color="auto" w:fill="FFFFFF"/>
        </w:rPr>
        <w:t>至</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9</w:t>
      </w:r>
      <w:r>
        <w:rPr>
          <w:rFonts w:ascii="Arial" w:hAnsi="Arial" w:cs="Arial" w:hint="eastAsia"/>
          <w:sz w:val="24"/>
          <w:szCs w:val="24"/>
          <w:shd w:val="clear" w:color="auto" w:fill="FFFFFF"/>
        </w:rPr>
        <w:t>月</w:t>
      </w:r>
      <w:r>
        <w:rPr>
          <w:rFonts w:ascii="Arial" w:hAnsi="Arial" w:cs="Arial" w:hint="eastAsia"/>
          <w:sz w:val="24"/>
          <w:szCs w:val="24"/>
          <w:shd w:val="clear" w:color="auto" w:fill="FFFFFF"/>
        </w:rPr>
        <w:t>4</w:t>
      </w:r>
      <w:r>
        <w:rPr>
          <w:rFonts w:ascii="Arial" w:hAnsi="Arial" w:cs="Arial" w:hint="eastAsia"/>
          <w:sz w:val="24"/>
          <w:szCs w:val="24"/>
          <w:shd w:val="clear" w:color="auto" w:fill="FFFFFF"/>
        </w:rPr>
        <w:t>日</w:t>
      </w:r>
      <w:r>
        <w:rPr>
          <w:rFonts w:ascii="Arial" w:hAnsi="Arial" w:cs="Arial"/>
          <w:sz w:val="24"/>
          <w:szCs w:val="24"/>
          <w:shd w:val="clear" w:color="auto" w:fill="FFFFFF"/>
        </w:rPr>
        <w:t>期间，</w:t>
      </w:r>
      <w:r>
        <w:rPr>
          <w:rFonts w:ascii="Arial" w:hAnsi="Arial" w:cs="Arial" w:hint="eastAsia"/>
          <w:sz w:val="24"/>
          <w:szCs w:val="24"/>
          <w:shd w:val="clear" w:color="auto" w:fill="FFFFFF"/>
        </w:rPr>
        <w:t>通过深圳证券交易所交易系统以集中竞价方式累计增持公司股份</w:t>
      </w:r>
      <w:r>
        <w:rPr>
          <w:rFonts w:ascii="Arial" w:hAnsi="Arial" w:cs="Arial" w:hint="eastAsia"/>
          <w:sz w:val="24"/>
          <w:szCs w:val="24"/>
          <w:shd w:val="clear" w:color="auto" w:fill="FFFFFF"/>
        </w:rPr>
        <w:t xml:space="preserve"> 917,100</w:t>
      </w:r>
      <w:r>
        <w:rPr>
          <w:rFonts w:ascii="Arial" w:hAnsi="Arial" w:cs="Arial" w:hint="eastAsia"/>
          <w:sz w:val="24"/>
          <w:szCs w:val="24"/>
          <w:shd w:val="clear" w:color="auto" w:fill="FFFFFF"/>
        </w:rPr>
        <w:t>股，占公司总股本的</w:t>
      </w:r>
      <w:r>
        <w:rPr>
          <w:rFonts w:ascii="Arial" w:hAnsi="Arial" w:cs="Arial" w:hint="eastAsia"/>
          <w:sz w:val="24"/>
          <w:szCs w:val="24"/>
          <w:shd w:val="clear" w:color="auto" w:fill="FFFFFF"/>
        </w:rPr>
        <w:t>0.37%</w:t>
      </w:r>
      <w:r>
        <w:rPr>
          <w:rFonts w:ascii="Arial" w:hAnsi="Arial" w:cs="Arial" w:hint="eastAsia"/>
          <w:sz w:val="24"/>
          <w:szCs w:val="24"/>
          <w:shd w:val="clear" w:color="auto" w:fill="FFFFFF"/>
        </w:rPr>
        <w:t>，累计增持金额为</w:t>
      </w:r>
      <w:r w:rsidR="0070474E">
        <w:rPr>
          <w:rFonts w:ascii="Arial" w:hAnsi="Arial" w:cs="Arial" w:hint="eastAsia"/>
          <w:sz w:val="24"/>
          <w:szCs w:val="24"/>
          <w:shd w:val="clear" w:color="auto" w:fill="FFFFFF"/>
        </w:rPr>
        <w:t>16,474</w:t>
      </w:r>
      <w:r>
        <w:rPr>
          <w:rFonts w:ascii="Arial" w:hAnsi="Arial" w:cs="Arial" w:hint="eastAsia"/>
          <w:sz w:val="24"/>
          <w:szCs w:val="24"/>
          <w:shd w:val="clear" w:color="auto" w:fill="FFFFFF"/>
        </w:rPr>
        <w:t>,708</w:t>
      </w:r>
      <w:r w:rsidR="0070474E">
        <w:rPr>
          <w:rFonts w:ascii="Arial" w:hAnsi="Arial" w:cs="Arial"/>
          <w:sz w:val="24"/>
          <w:szCs w:val="24"/>
          <w:shd w:val="clear" w:color="auto" w:fill="FFFFFF"/>
        </w:rPr>
        <w:t>.00</w:t>
      </w:r>
      <w:r>
        <w:rPr>
          <w:rFonts w:ascii="Arial" w:hAnsi="Arial" w:cs="Arial" w:hint="eastAsia"/>
          <w:sz w:val="24"/>
          <w:szCs w:val="24"/>
          <w:shd w:val="clear" w:color="auto" w:fill="FFFFFF"/>
        </w:rPr>
        <w:t>元（不含交易费用）。</w:t>
      </w:r>
      <w:r>
        <w:rPr>
          <w:rFonts w:ascii="Arial" w:hAnsi="Arial" w:cs="Arial"/>
          <w:sz w:val="24"/>
          <w:szCs w:val="24"/>
          <w:shd w:val="clear" w:color="auto" w:fill="FFFFFF"/>
        </w:rPr>
        <w:t>本次</w:t>
      </w:r>
      <w:r>
        <w:rPr>
          <w:rFonts w:ascii="Arial" w:hAnsi="Arial" w:cs="Arial" w:hint="eastAsia"/>
          <w:sz w:val="24"/>
          <w:szCs w:val="24"/>
          <w:shd w:val="clear" w:color="auto" w:fill="FFFFFF"/>
        </w:rPr>
        <w:t>增持后</w:t>
      </w:r>
      <w:r>
        <w:rPr>
          <w:rFonts w:ascii="Arial" w:hAnsi="Arial" w:cs="Arial"/>
          <w:sz w:val="24"/>
          <w:szCs w:val="24"/>
          <w:shd w:val="clear" w:color="auto" w:fill="FFFFFF"/>
        </w:rPr>
        <w:t>，宝钛集团</w:t>
      </w:r>
      <w:r>
        <w:rPr>
          <w:rFonts w:ascii="Arial" w:hAnsi="Arial" w:cs="Arial" w:hint="eastAsia"/>
          <w:sz w:val="24"/>
          <w:szCs w:val="24"/>
          <w:shd w:val="clear" w:color="auto" w:fill="FFFFFF"/>
        </w:rPr>
        <w:t>持有</w:t>
      </w:r>
      <w:r>
        <w:rPr>
          <w:rFonts w:ascii="Arial" w:hAnsi="Arial" w:cs="Arial"/>
          <w:sz w:val="24"/>
          <w:szCs w:val="24"/>
          <w:shd w:val="clear" w:color="auto" w:fill="FFFFFF"/>
        </w:rPr>
        <w:t>公司股份</w:t>
      </w:r>
      <w:r>
        <w:rPr>
          <w:rFonts w:ascii="Arial" w:hAnsi="Arial" w:cs="Arial" w:hint="eastAsia"/>
          <w:sz w:val="24"/>
          <w:szCs w:val="24"/>
          <w:shd w:val="clear" w:color="auto" w:fill="FFFFFF"/>
        </w:rPr>
        <w:t>118,668,000</w:t>
      </w:r>
      <w:r>
        <w:rPr>
          <w:rFonts w:ascii="Arial" w:hAnsi="Arial" w:cs="Arial" w:hint="eastAsia"/>
          <w:sz w:val="24"/>
          <w:szCs w:val="24"/>
          <w:shd w:val="clear" w:color="auto" w:fill="FFFFFF"/>
        </w:rPr>
        <w:t>股</w:t>
      </w:r>
      <w:r>
        <w:rPr>
          <w:rFonts w:ascii="Arial" w:hAnsi="Arial" w:cs="Arial"/>
          <w:sz w:val="24"/>
          <w:szCs w:val="24"/>
          <w:shd w:val="clear" w:color="auto" w:fill="FFFFFF"/>
        </w:rPr>
        <w:t>，占公司总</w:t>
      </w:r>
      <w:r>
        <w:rPr>
          <w:rFonts w:ascii="Arial" w:hAnsi="Arial" w:cs="Arial" w:hint="eastAsia"/>
          <w:sz w:val="24"/>
          <w:szCs w:val="24"/>
          <w:shd w:val="clear" w:color="auto" w:fill="FFFFFF"/>
        </w:rPr>
        <w:t>股本</w:t>
      </w:r>
      <w:r>
        <w:rPr>
          <w:rFonts w:ascii="Arial" w:hAnsi="Arial" w:cs="Arial"/>
          <w:sz w:val="24"/>
          <w:szCs w:val="24"/>
          <w:shd w:val="clear" w:color="auto" w:fill="FFFFFF"/>
        </w:rPr>
        <w:t>的</w:t>
      </w:r>
      <w:r>
        <w:rPr>
          <w:rFonts w:ascii="Arial" w:hAnsi="Arial" w:cs="Arial" w:hint="eastAsia"/>
          <w:sz w:val="24"/>
          <w:szCs w:val="24"/>
          <w:shd w:val="clear" w:color="auto" w:fill="FFFFFF"/>
        </w:rPr>
        <w:t>比例</w:t>
      </w:r>
      <w:r>
        <w:rPr>
          <w:rFonts w:ascii="Arial" w:hAnsi="Arial" w:cs="Arial"/>
          <w:sz w:val="24"/>
          <w:szCs w:val="24"/>
          <w:shd w:val="clear" w:color="auto" w:fill="FFFFFF"/>
        </w:rPr>
        <w:t>由</w:t>
      </w:r>
      <w:r>
        <w:rPr>
          <w:rFonts w:ascii="Arial" w:hAnsi="Arial" w:cs="Arial" w:hint="eastAsia"/>
          <w:sz w:val="24"/>
          <w:szCs w:val="24"/>
          <w:shd w:val="clear" w:color="auto" w:fill="FFFFFF"/>
        </w:rPr>
        <w:t>47.71</w:t>
      </w:r>
      <w:r>
        <w:rPr>
          <w:rFonts w:ascii="Arial" w:hAnsi="Arial" w:cs="Arial"/>
          <w:sz w:val="24"/>
          <w:szCs w:val="24"/>
          <w:shd w:val="clear" w:color="auto" w:fill="FFFFFF"/>
        </w:rPr>
        <w:t>%</w:t>
      </w:r>
      <w:r>
        <w:rPr>
          <w:rFonts w:ascii="Arial" w:hAnsi="Arial" w:cs="Arial" w:hint="eastAsia"/>
          <w:sz w:val="24"/>
          <w:szCs w:val="24"/>
          <w:shd w:val="clear" w:color="auto" w:fill="FFFFFF"/>
        </w:rPr>
        <w:t>增加至</w:t>
      </w:r>
      <w:r>
        <w:rPr>
          <w:rFonts w:ascii="Arial" w:hAnsi="Arial" w:cs="Arial" w:hint="eastAsia"/>
          <w:sz w:val="24"/>
          <w:szCs w:val="24"/>
          <w:shd w:val="clear" w:color="auto" w:fill="FFFFFF"/>
        </w:rPr>
        <w:t>48.08</w:t>
      </w:r>
      <w:r>
        <w:rPr>
          <w:rFonts w:ascii="Arial" w:hAnsi="Arial" w:cs="Arial"/>
          <w:sz w:val="24"/>
          <w:szCs w:val="24"/>
          <w:shd w:val="clear" w:color="auto" w:fill="FFFFFF"/>
        </w:rPr>
        <w:t>%</w:t>
      </w:r>
      <w:r>
        <w:rPr>
          <w:rFonts w:ascii="Arial" w:hAnsi="Arial" w:cs="Arial" w:hint="eastAsia"/>
          <w:sz w:val="24"/>
          <w:szCs w:val="24"/>
          <w:shd w:val="clear" w:color="auto" w:fill="FFFFFF"/>
        </w:rPr>
        <w:t>，权益</w:t>
      </w:r>
      <w:r w:rsidR="00781D4C">
        <w:rPr>
          <w:rFonts w:ascii="Arial" w:hAnsi="Arial" w:cs="Arial"/>
          <w:sz w:val="24"/>
          <w:szCs w:val="24"/>
          <w:shd w:val="clear" w:color="auto" w:fill="FFFFFF"/>
        </w:rPr>
        <w:t>变动</w:t>
      </w:r>
      <w:r w:rsidR="00781D4C">
        <w:rPr>
          <w:rFonts w:ascii="Arial" w:hAnsi="Arial" w:cs="Arial" w:hint="eastAsia"/>
          <w:sz w:val="24"/>
          <w:szCs w:val="24"/>
          <w:shd w:val="clear" w:color="auto" w:fill="FFFFFF"/>
        </w:rPr>
        <w:t>触及</w:t>
      </w:r>
      <w:r>
        <w:rPr>
          <w:rFonts w:ascii="Arial" w:hAnsi="Arial" w:cs="Arial" w:hint="eastAsia"/>
          <w:sz w:val="24"/>
          <w:szCs w:val="24"/>
          <w:shd w:val="clear" w:color="auto" w:fill="FFFFFF"/>
        </w:rPr>
        <w:t>1</w:t>
      </w:r>
      <w:r>
        <w:rPr>
          <w:rFonts w:ascii="Arial" w:hAnsi="Arial" w:cs="Arial"/>
          <w:sz w:val="24"/>
          <w:szCs w:val="24"/>
          <w:shd w:val="clear" w:color="auto" w:fill="FFFFFF"/>
        </w:rPr>
        <w:t>%</w:t>
      </w:r>
      <w:r>
        <w:rPr>
          <w:rFonts w:ascii="Arial" w:hAnsi="Arial" w:cs="Arial"/>
          <w:sz w:val="24"/>
          <w:szCs w:val="24"/>
          <w:shd w:val="clear" w:color="auto" w:fill="FFFFFF"/>
        </w:rPr>
        <w:t>的整数倍。</w:t>
      </w:r>
    </w:p>
    <w:p w14:paraId="1024DCEB" w14:textId="0966ACA3" w:rsidR="00CB42DE" w:rsidRDefault="0008421B">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自宝钛集团</w:t>
      </w:r>
      <w:r>
        <w:rPr>
          <w:rFonts w:ascii="Arial" w:hAnsi="Arial" w:cs="Arial"/>
          <w:sz w:val="24"/>
          <w:szCs w:val="24"/>
          <w:shd w:val="clear" w:color="auto" w:fill="FFFFFF"/>
        </w:rPr>
        <w:t>本次增持计划公告</w:t>
      </w:r>
      <w:r>
        <w:rPr>
          <w:rFonts w:ascii="Arial" w:hAnsi="Arial" w:cs="Arial" w:hint="eastAsia"/>
          <w:sz w:val="24"/>
          <w:szCs w:val="24"/>
          <w:shd w:val="clear" w:color="auto" w:fill="FFFFFF"/>
        </w:rPr>
        <w:t>至</w:t>
      </w:r>
      <w:r>
        <w:rPr>
          <w:rFonts w:ascii="Arial" w:hAnsi="Arial" w:cs="Arial" w:hint="eastAsia"/>
          <w:sz w:val="24"/>
          <w:szCs w:val="24"/>
          <w:shd w:val="clear" w:color="auto" w:fill="FFFFFF"/>
        </w:rPr>
        <w:t>2</w:t>
      </w:r>
      <w:r>
        <w:rPr>
          <w:rFonts w:ascii="Arial" w:hAnsi="Arial" w:cs="Arial"/>
          <w:sz w:val="24"/>
          <w:szCs w:val="24"/>
          <w:shd w:val="clear" w:color="auto" w:fill="FFFFFF"/>
        </w:rPr>
        <w:t>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9</w:t>
      </w:r>
      <w:r>
        <w:rPr>
          <w:rFonts w:ascii="Arial" w:hAnsi="Arial" w:cs="Arial" w:hint="eastAsia"/>
          <w:sz w:val="24"/>
          <w:szCs w:val="24"/>
          <w:shd w:val="clear" w:color="auto" w:fill="FFFFFF"/>
        </w:rPr>
        <w:t>月</w:t>
      </w:r>
      <w:r>
        <w:rPr>
          <w:rFonts w:ascii="Arial" w:hAnsi="Arial" w:cs="Arial" w:hint="eastAsia"/>
          <w:sz w:val="24"/>
          <w:szCs w:val="24"/>
          <w:shd w:val="clear" w:color="auto" w:fill="FFFFFF"/>
        </w:rPr>
        <w:t>4</w:t>
      </w:r>
      <w:r>
        <w:rPr>
          <w:rFonts w:ascii="Arial" w:hAnsi="Arial" w:cs="Arial" w:hint="eastAsia"/>
          <w:sz w:val="24"/>
          <w:szCs w:val="24"/>
          <w:shd w:val="clear" w:color="auto" w:fill="FFFFFF"/>
        </w:rPr>
        <w:t>日，即</w:t>
      </w:r>
      <w:r>
        <w:rPr>
          <w:rFonts w:ascii="Arial" w:hAnsi="Arial" w:cs="Arial" w:hint="eastAsia"/>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4</w:t>
      </w:r>
      <w:r>
        <w:rPr>
          <w:rFonts w:ascii="Arial" w:hAnsi="Arial" w:cs="Arial" w:hint="eastAsia"/>
          <w:sz w:val="24"/>
          <w:szCs w:val="24"/>
          <w:shd w:val="clear" w:color="auto" w:fill="FFFFFF"/>
        </w:rPr>
        <w:t>月</w:t>
      </w:r>
      <w:r>
        <w:rPr>
          <w:rFonts w:ascii="Arial" w:hAnsi="Arial" w:cs="Arial" w:hint="eastAsia"/>
          <w:sz w:val="24"/>
          <w:szCs w:val="24"/>
          <w:shd w:val="clear" w:color="auto" w:fill="FFFFFF"/>
        </w:rPr>
        <w:t>10</w:t>
      </w:r>
      <w:r>
        <w:rPr>
          <w:rFonts w:ascii="Arial" w:hAnsi="Arial" w:cs="Arial" w:hint="eastAsia"/>
          <w:sz w:val="24"/>
          <w:szCs w:val="24"/>
          <w:shd w:val="clear" w:color="auto" w:fill="FFFFFF"/>
        </w:rPr>
        <w:t>日</w:t>
      </w:r>
      <w:r>
        <w:rPr>
          <w:rFonts w:ascii="Arial" w:hAnsi="Arial" w:cs="Arial"/>
          <w:sz w:val="24"/>
          <w:szCs w:val="24"/>
          <w:shd w:val="clear" w:color="auto" w:fill="FFFFFF"/>
        </w:rPr>
        <w:t>-2025</w:t>
      </w:r>
      <w:r>
        <w:rPr>
          <w:rFonts w:ascii="Arial" w:hAnsi="Arial" w:cs="Arial" w:hint="eastAsia"/>
          <w:sz w:val="24"/>
          <w:szCs w:val="24"/>
          <w:shd w:val="clear" w:color="auto" w:fill="FFFFFF"/>
        </w:rPr>
        <w:t>年</w:t>
      </w:r>
      <w:r>
        <w:rPr>
          <w:rFonts w:ascii="Arial" w:hAnsi="Arial" w:cs="Arial" w:hint="eastAsia"/>
          <w:sz w:val="24"/>
          <w:szCs w:val="24"/>
          <w:shd w:val="clear" w:color="auto" w:fill="FFFFFF"/>
        </w:rPr>
        <w:t>9</w:t>
      </w:r>
      <w:r>
        <w:rPr>
          <w:rFonts w:ascii="Arial" w:hAnsi="Arial" w:cs="Arial" w:hint="eastAsia"/>
          <w:sz w:val="24"/>
          <w:szCs w:val="24"/>
          <w:shd w:val="clear" w:color="auto" w:fill="FFFFFF"/>
        </w:rPr>
        <w:t>月</w:t>
      </w:r>
      <w:r>
        <w:rPr>
          <w:rFonts w:ascii="Arial" w:hAnsi="Arial" w:cs="Arial" w:hint="eastAsia"/>
          <w:sz w:val="24"/>
          <w:szCs w:val="24"/>
          <w:shd w:val="clear" w:color="auto" w:fill="FFFFFF"/>
        </w:rPr>
        <w:t>4</w:t>
      </w:r>
      <w:r>
        <w:rPr>
          <w:rFonts w:ascii="Arial" w:hAnsi="Arial" w:cs="Arial" w:hint="eastAsia"/>
          <w:sz w:val="24"/>
          <w:szCs w:val="24"/>
          <w:shd w:val="clear" w:color="auto" w:fill="FFFFFF"/>
        </w:rPr>
        <w:t>日期间，宝钛集团通过深圳证券交易所交易系统以集中竞价方式累计增持公司股份</w:t>
      </w:r>
      <w:r>
        <w:rPr>
          <w:rFonts w:ascii="Arial" w:hAnsi="Arial" w:cs="Arial" w:hint="eastAsia"/>
          <w:sz w:val="24"/>
          <w:szCs w:val="24"/>
          <w:shd w:val="clear" w:color="auto" w:fill="FFFFFF"/>
        </w:rPr>
        <w:t>2,468,000</w:t>
      </w:r>
      <w:r>
        <w:rPr>
          <w:rFonts w:ascii="Arial" w:hAnsi="Arial" w:cs="Arial" w:hint="eastAsia"/>
          <w:sz w:val="24"/>
          <w:szCs w:val="24"/>
          <w:shd w:val="clear" w:color="auto" w:fill="FFFFFF"/>
        </w:rPr>
        <w:t>股，占公司总股本的</w:t>
      </w:r>
      <w:r>
        <w:rPr>
          <w:rFonts w:ascii="Arial" w:hAnsi="Arial" w:cs="Arial" w:hint="eastAsia"/>
          <w:sz w:val="24"/>
          <w:szCs w:val="24"/>
          <w:shd w:val="clear" w:color="auto" w:fill="FFFFFF"/>
        </w:rPr>
        <w:t>1</w:t>
      </w:r>
      <w:r w:rsidR="0070474E">
        <w:rPr>
          <w:rFonts w:ascii="Arial" w:hAnsi="Arial" w:cs="Arial" w:hint="eastAsia"/>
          <w:sz w:val="24"/>
          <w:szCs w:val="24"/>
          <w:shd w:val="clear" w:color="auto" w:fill="FFFFFF"/>
        </w:rPr>
        <w:t>.00</w:t>
      </w:r>
      <w:r>
        <w:rPr>
          <w:rFonts w:ascii="Arial" w:hAnsi="Arial" w:cs="Arial" w:hint="eastAsia"/>
          <w:sz w:val="24"/>
          <w:szCs w:val="24"/>
          <w:shd w:val="clear" w:color="auto" w:fill="FFFFFF"/>
        </w:rPr>
        <w:t>%</w:t>
      </w:r>
      <w:r>
        <w:rPr>
          <w:rFonts w:ascii="Arial" w:hAnsi="Arial" w:cs="Arial" w:hint="eastAsia"/>
          <w:sz w:val="24"/>
          <w:szCs w:val="24"/>
          <w:shd w:val="clear" w:color="auto" w:fill="FFFFFF"/>
        </w:rPr>
        <w:t>，累计增持金额为</w:t>
      </w:r>
      <w:r>
        <w:rPr>
          <w:rFonts w:ascii="Arial" w:hAnsi="Arial" w:cs="Arial" w:hint="eastAsia"/>
          <w:sz w:val="24"/>
          <w:szCs w:val="24"/>
          <w:shd w:val="clear" w:color="auto" w:fill="FFFFFF"/>
        </w:rPr>
        <w:t>44,172,165</w:t>
      </w:r>
      <w:r w:rsidR="0070474E">
        <w:rPr>
          <w:rFonts w:ascii="Arial" w:hAnsi="Arial" w:cs="Arial"/>
          <w:sz w:val="24"/>
          <w:szCs w:val="24"/>
          <w:shd w:val="clear" w:color="auto" w:fill="FFFFFF"/>
        </w:rPr>
        <w:t>.00</w:t>
      </w:r>
      <w:r>
        <w:rPr>
          <w:rFonts w:ascii="Arial" w:hAnsi="Arial" w:cs="Arial" w:hint="eastAsia"/>
          <w:sz w:val="24"/>
          <w:szCs w:val="24"/>
          <w:shd w:val="clear" w:color="auto" w:fill="FFFFFF"/>
        </w:rPr>
        <w:t xml:space="preserve"> </w:t>
      </w:r>
      <w:r>
        <w:rPr>
          <w:rFonts w:ascii="Arial" w:hAnsi="Arial" w:cs="Arial" w:hint="eastAsia"/>
          <w:sz w:val="24"/>
          <w:szCs w:val="24"/>
          <w:shd w:val="clear" w:color="auto" w:fill="FFFFFF"/>
        </w:rPr>
        <w:t>元（不含交易费用）。</w:t>
      </w:r>
    </w:p>
    <w:p w14:paraId="6242E45D" w14:textId="77777777" w:rsidR="00CB42DE" w:rsidRDefault="0008421B">
      <w:pPr>
        <w:spacing w:beforeLines="25" w:before="78"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截至</w:t>
      </w:r>
      <w:r>
        <w:rPr>
          <w:rFonts w:ascii="Arial" w:hAnsi="Arial" w:cs="Arial"/>
          <w:sz w:val="24"/>
          <w:szCs w:val="24"/>
          <w:shd w:val="clear" w:color="auto" w:fill="FFFFFF"/>
        </w:rPr>
        <w:t>本公告披露之日，宝钛集团持有公司股份</w:t>
      </w:r>
      <w:r>
        <w:rPr>
          <w:rFonts w:ascii="Arial" w:hAnsi="Arial" w:cs="Arial" w:hint="eastAsia"/>
          <w:sz w:val="24"/>
          <w:szCs w:val="24"/>
          <w:shd w:val="clear" w:color="auto" w:fill="FFFFFF"/>
        </w:rPr>
        <w:t>118,668,000</w:t>
      </w:r>
      <w:r>
        <w:rPr>
          <w:rFonts w:ascii="Arial" w:hAnsi="Arial" w:cs="Arial" w:hint="eastAsia"/>
          <w:sz w:val="24"/>
          <w:szCs w:val="24"/>
          <w:shd w:val="clear" w:color="auto" w:fill="FFFFFF"/>
        </w:rPr>
        <w:t>股</w:t>
      </w:r>
      <w:r>
        <w:rPr>
          <w:rFonts w:ascii="Arial" w:hAnsi="Arial" w:cs="Arial"/>
          <w:sz w:val="24"/>
          <w:szCs w:val="24"/>
          <w:shd w:val="clear" w:color="auto" w:fill="FFFFFF"/>
        </w:rPr>
        <w:t>，占公司总股本的</w:t>
      </w:r>
      <w:r>
        <w:rPr>
          <w:rFonts w:ascii="Arial" w:hAnsi="Arial" w:cs="Arial" w:hint="eastAsia"/>
          <w:sz w:val="24"/>
          <w:szCs w:val="24"/>
          <w:shd w:val="clear" w:color="auto" w:fill="FFFFFF"/>
        </w:rPr>
        <w:t>48.08</w:t>
      </w:r>
      <w:r>
        <w:rPr>
          <w:rFonts w:ascii="Arial" w:hAnsi="Arial" w:cs="Arial"/>
          <w:sz w:val="24"/>
          <w:szCs w:val="24"/>
          <w:shd w:val="clear" w:color="auto" w:fill="FFFFFF"/>
        </w:rPr>
        <w:t>%</w:t>
      </w:r>
      <w:r>
        <w:rPr>
          <w:rFonts w:ascii="Arial" w:hAnsi="Arial" w:cs="Arial" w:hint="eastAsia"/>
          <w:sz w:val="24"/>
          <w:szCs w:val="24"/>
          <w:shd w:val="clear" w:color="auto" w:fill="FFFFFF"/>
        </w:rPr>
        <w:t>。</w:t>
      </w:r>
    </w:p>
    <w:p w14:paraId="19525433" w14:textId="77777777" w:rsidR="00CB42DE" w:rsidRDefault="0008421B">
      <w:pPr>
        <w:spacing w:beforeLines="25" w:before="78" w:line="360" w:lineRule="auto"/>
        <w:ind w:firstLineChars="200" w:firstLine="480"/>
        <w:rPr>
          <w:rFonts w:ascii="Arial" w:hAnsi="Arial" w:cs="Arial"/>
          <w:sz w:val="24"/>
          <w:szCs w:val="24"/>
          <w:shd w:val="clear" w:color="auto" w:fill="FFFFFF"/>
        </w:rPr>
      </w:pPr>
      <w:r w:rsidRPr="0070474E">
        <w:rPr>
          <w:rFonts w:ascii="Arial" w:hAnsi="Arial" w:cs="Arial" w:hint="eastAsia"/>
          <w:sz w:val="24"/>
          <w:szCs w:val="24"/>
          <w:shd w:val="clear" w:color="auto" w:fill="FFFFFF"/>
        </w:rPr>
        <w:t>本次</w:t>
      </w:r>
      <w:r w:rsidRPr="0070474E">
        <w:rPr>
          <w:rFonts w:ascii="Arial" w:hAnsi="Arial" w:cs="Arial"/>
          <w:sz w:val="24"/>
          <w:szCs w:val="24"/>
          <w:shd w:val="clear" w:color="auto" w:fill="FFFFFF"/>
        </w:rPr>
        <w:t>增持计划尚未实施完毕，宝钛集团将继续实施增持计划。</w:t>
      </w:r>
    </w:p>
    <w:p w14:paraId="074E4E84" w14:textId="77777777" w:rsidR="00CB42DE" w:rsidRDefault="0008421B">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三、</w:t>
      </w:r>
      <w:r>
        <w:rPr>
          <w:rFonts w:ascii="Arial" w:hAnsi="Arial" w:cs="Arial"/>
          <w:b/>
          <w:sz w:val="24"/>
          <w:szCs w:val="24"/>
          <w:shd w:val="clear" w:color="auto" w:fill="FFFFFF"/>
        </w:rPr>
        <w:t>本次权益</w:t>
      </w:r>
      <w:r>
        <w:rPr>
          <w:rFonts w:ascii="Arial" w:hAnsi="Arial" w:cs="Arial" w:hint="eastAsia"/>
          <w:b/>
          <w:sz w:val="24"/>
          <w:szCs w:val="24"/>
          <w:shd w:val="clear" w:color="auto" w:fill="FFFFFF"/>
        </w:rPr>
        <w:t>变动触及</w:t>
      </w:r>
      <w:r>
        <w:rPr>
          <w:rFonts w:ascii="Arial" w:hAnsi="Arial" w:cs="Arial" w:hint="eastAsia"/>
          <w:b/>
          <w:sz w:val="24"/>
          <w:szCs w:val="24"/>
          <w:shd w:val="clear" w:color="auto" w:fill="FFFFFF"/>
        </w:rPr>
        <w:t>1</w:t>
      </w:r>
      <w:r>
        <w:rPr>
          <w:rFonts w:ascii="Arial" w:hAnsi="Arial" w:cs="Arial"/>
          <w:b/>
          <w:sz w:val="24"/>
          <w:szCs w:val="24"/>
          <w:shd w:val="clear" w:color="auto" w:fill="FFFFFF"/>
        </w:rPr>
        <w:t>%</w:t>
      </w:r>
      <w:r>
        <w:rPr>
          <w:rFonts w:ascii="Arial" w:hAnsi="Arial" w:cs="Arial"/>
          <w:b/>
          <w:sz w:val="24"/>
          <w:szCs w:val="24"/>
          <w:shd w:val="clear" w:color="auto" w:fill="FFFFFF"/>
        </w:rPr>
        <w:t>整数倍的</w:t>
      </w:r>
      <w:r>
        <w:rPr>
          <w:rFonts w:ascii="Arial" w:hAnsi="Arial" w:cs="Arial" w:hint="eastAsia"/>
          <w:b/>
          <w:sz w:val="24"/>
          <w:szCs w:val="24"/>
          <w:shd w:val="clear" w:color="auto" w:fill="FFFFFF"/>
        </w:rPr>
        <w:t>情况</w:t>
      </w:r>
    </w:p>
    <w:tbl>
      <w:tblPr>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9"/>
        <w:gridCol w:w="964"/>
        <w:gridCol w:w="28"/>
        <w:gridCol w:w="18"/>
        <w:gridCol w:w="1559"/>
        <w:gridCol w:w="1843"/>
        <w:gridCol w:w="1417"/>
        <w:gridCol w:w="1559"/>
      </w:tblGrid>
      <w:tr w:rsidR="00CB42DE" w:rsidRPr="003F53E8" w14:paraId="4377DEFB" w14:textId="77777777" w:rsidTr="005625C5">
        <w:trPr>
          <w:trHeight w:val="457"/>
        </w:trPr>
        <w:tc>
          <w:tcPr>
            <w:tcW w:w="9077" w:type="dxa"/>
            <w:gridSpan w:val="8"/>
          </w:tcPr>
          <w:p w14:paraId="70E5073B" w14:textId="6405F39B"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1.</w:t>
            </w:r>
            <w:r w:rsidR="00B76AEC" w:rsidRPr="003F53E8">
              <w:rPr>
                <w:rFonts w:ascii="Arial" w:eastAsia="宋体" w:hAnsi="Arial" w:cs="Arial"/>
                <w:b/>
                <w:sz w:val="21"/>
                <w:szCs w:val="21"/>
              </w:rPr>
              <w:t xml:space="preserve"> </w:t>
            </w:r>
            <w:r w:rsidRPr="003F53E8">
              <w:rPr>
                <w:rFonts w:ascii="Arial" w:eastAsia="宋体" w:hAnsi="Arial" w:cs="Arial"/>
                <w:b/>
                <w:sz w:val="21"/>
                <w:szCs w:val="21"/>
              </w:rPr>
              <w:t>基本情况</w:t>
            </w:r>
          </w:p>
        </w:tc>
      </w:tr>
      <w:tr w:rsidR="00CB42DE" w:rsidRPr="003F53E8" w14:paraId="6DEBB485" w14:textId="77777777" w:rsidTr="005625C5">
        <w:trPr>
          <w:trHeight w:val="460"/>
        </w:trPr>
        <w:tc>
          <w:tcPr>
            <w:tcW w:w="2699" w:type="dxa"/>
            <w:gridSpan w:val="4"/>
            <w:vAlign w:val="center"/>
          </w:tcPr>
          <w:p w14:paraId="575D46AB" w14:textId="77777777" w:rsidR="00CB42DE" w:rsidRPr="003F53E8" w:rsidRDefault="0008421B" w:rsidP="009A19B4">
            <w:pPr>
              <w:pStyle w:val="TableParagraph"/>
              <w:ind w:left="626"/>
              <w:rPr>
                <w:rFonts w:ascii="Arial" w:eastAsia="宋体" w:hAnsi="Arial" w:cs="Arial"/>
                <w:sz w:val="21"/>
                <w:szCs w:val="21"/>
              </w:rPr>
            </w:pPr>
            <w:r w:rsidRPr="003F53E8">
              <w:rPr>
                <w:rFonts w:ascii="Arial" w:eastAsia="宋体" w:hAnsi="Arial" w:cs="Arial"/>
                <w:sz w:val="21"/>
                <w:szCs w:val="21"/>
              </w:rPr>
              <w:t>信息披露义务人</w:t>
            </w:r>
          </w:p>
        </w:tc>
        <w:tc>
          <w:tcPr>
            <w:tcW w:w="6378" w:type="dxa"/>
            <w:gridSpan w:val="4"/>
          </w:tcPr>
          <w:p w14:paraId="3931D086" w14:textId="77777777" w:rsidR="00CB42DE" w:rsidRPr="003F53E8" w:rsidRDefault="0008421B">
            <w:pPr>
              <w:pStyle w:val="TableParagraph"/>
              <w:spacing w:line="400" w:lineRule="exact"/>
              <w:ind w:firstLineChars="50" w:firstLine="105"/>
              <w:rPr>
                <w:rFonts w:ascii="Arial" w:eastAsia="宋体" w:hAnsi="Arial" w:cs="Arial"/>
                <w:sz w:val="21"/>
                <w:szCs w:val="21"/>
              </w:rPr>
            </w:pPr>
            <w:r w:rsidRPr="003F53E8">
              <w:rPr>
                <w:rFonts w:ascii="Arial" w:eastAsia="宋体" w:hAnsi="Arial" w:cs="Arial"/>
                <w:sz w:val="21"/>
                <w:szCs w:val="21"/>
              </w:rPr>
              <w:t>宝钛集团有限公司</w:t>
            </w:r>
          </w:p>
        </w:tc>
      </w:tr>
      <w:tr w:rsidR="00CB42DE" w:rsidRPr="003F53E8" w14:paraId="07CD4148" w14:textId="77777777" w:rsidTr="005625C5">
        <w:trPr>
          <w:trHeight w:val="458"/>
        </w:trPr>
        <w:tc>
          <w:tcPr>
            <w:tcW w:w="2699" w:type="dxa"/>
            <w:gridSpan w:val="4"/>
            <w:vAlign w:val="center"/>
          </w:tcPr>
          <w:p w14:paraId="0BEAE310" w14:textId="77777777" w:rsidR="00CB42DE" w:rsidRPr="003F53E8" w:rsidRDefault="0008421B" w:rsidP="009A19B4">
            <w:pPr>
              <w:pStyle w:val="TableParagraph"/>
              <w:ind w:left="1087" w:right="1083"/>
              <w:jc w:val="center"/>
              <w:rPr>
                <w:rFonts w:ascii="Arial" w:eastAsia="宋体" w:hAnsi="Arial" w:cs="Arial"/>
                <w:sz w:val="21"/>
                <w:szCs w:val="21"/>
              </w:rPr>
            </w:pPr>
            <w:r w:rsidRPr="003F53E8">
              <w:rPr>
                <w:rFonts w:ascii="Arial" w:eastAsia="宋体" w:hAnsi="Arial" w:cs="Arial"/>
                <w:sz w:val="21"/>
                <w:szCs w:val="21"/>
              </w:rPr>
              <w:t>住所</w:t>
            </w:r>
          </w:p>
        </w:tc>
        <w:tc>
          <w:tcPr>
            <w:tcW w:w="6378" w:type="dxa"/>
            <w:gridSpan w:val="4"/>
          </w:tcPr>
          <w:p w14:paraId="31FED408" w14:textId="77777777" w:rsidR="00CB42DE" w:rsidRPr="003F53E8" w:rsidRDefault="0008421B">
            <w:pPr>
              <w:pStyle w:val="TableParagraph"/>
              <w:spacing w:line="400" w:lineRule="exact"/>
              <w:ind w:firstLineChars="50" w:firstLine="105"/>
              <w:rPr>
                <w:rFonts w:ascii="Arial" w:eastAsia="宋体" w:hAnsi="Arial" w:cs="Arial"/>
                <w:sz w:val="21"/>
                <w:szCs w:val="21"/>
              </w:rPr>
            </w:pPr>
            <w:r w:rsidRPr="003F53E8">
              <w:rPr>
                <w:rFonts w:ascii="Arial" w:eastAsia="宋体" w:hAnsi="Arial" w:cs="Arial"/>
                <w:sz w:val="21"/>
                <w:szCs w:val="21"/>
              </w:rPr>
              <w:t>陕西省宝鸡市高新开发区高新大道</w:t>
            </w:r>
            <w:r w:rsidRPr="003F53E8">
              <w:rPr>
                <w:rFonts w:ascii="Arial" w:eastAsia="宋体" w:hAnsi="Arial" w:cs="Arial"/>
                <w:sz w:val="21"/>
                <w:szCs w:val="21"/>
              </w:rPr>
              <w:t>88</w:t>
            </w:r>
            <w:r w:rsidRPr="003F53E8">
              <w:rPr>
                <w:rFonts w:ascii="Arial" w:eastAsia="宋体" w:hAnsi="Arial" w:cs="Arial"/>
                <w:sz w:val="21"/>
                <w:szCs w:val="21"/>
              </w:rPr>
              <w:t>号</w:t>
            </w:r>
          </w:p>
        </w:tc>
      </w:tr>
      <w:tr w:rsidR="00CB42DE" w:rsidRPr="003F53E8" w14:paraId="0AE2ABBF" w14:textId="77777777" w:rsidTr="005625C5">
        <w:trPr>
          <w:trHeight w:val="460"/>
        </w:trPr>
        <w:tc>
          <w:tcPr>
            <w:tcW w:w="2699" w:type="dxa"/>
            <w:gridSpan w:val="4"/>
            <w:vAlign w:val="center"/>
          </w:tcPr>
          <w:p w14:paraId="0EB51D16" w14:textId="77777777" w:rsidR="00CB42DE" w:rsidRPr="003F53E8" w:rsidRDefault="0008421B" w:rsidP="009A19B4">
            <w:pPr>
              <w:pStyle w:val="TableParagraph"/>
              <w:ind w:left="746"/>
              <w:rPr>
                <w:rFonts w:ascii="Arial" w:eastAsia="宋体" w:hAnsi="Arial" w:cs="Arial"/>
                <w:sz w:val="21"/>
                <w:szCs w:val="21"/>
              </w:rPr>
            </w:pPr>
            <w:r w:rsidRPr="003F53E8">
              <w:rPr>
                <w:rFonts w:ascii="Arial" w:eastAsia="宋体" w:hAnsi="Arial" w:cs="Arial"/>
                <w:sz w:val="21"/>
                <w:szCs w:val="21"/>
              </w:rPr>
              <w:t>权益变动时间</w:t>
            </w:r>
          </w:p>
        </w:tc>
        <w:tc>
          <w:tcPr>
            <w:tcW w:w="6378" w:type="dxa"/>
            <w:gridSpan w:val="4"/>
          </w:tcPr>
          <w:p w14:paraId="1BCC48A1" w14:textId="77777777" w:rsidR="00CB42DE" w:rsidRPr="003F53E8" w:rsidRDefault="0008421B">
            <w:pPr>
              <w:pStyle w:val="TableParagraph"/>
              <w:spacing w:line="400" w:lineRule="exact"/>
              <w:ind w:firstLineChars="50" w:firstLine="105"/>
              <w:rPr>
                <w:rFonts w:ascii="Arial" w:eastAsia="宋体" w:hAnsi="Arial" w:cs="Arial"/>
                <w:sz w:val="21"/>
                <w:szCs w:val="21"/>
              </w:rPr>
            </w:pPr>
            <w:r w:rsidRPr="003F53E8">
              <w:rPr>
                <w:rFonts w:ascii="Arial" w:eastAsia="宋体" w:hAnsi="Arial" w:cs="Arial"/>
                <w:sz w:val="21"/>
                <w:szCs w:val="21"/>
              </w:rPr>
              <w:t>2025</w:t>
            </w:r>
            <w:r w:rsidRPr="003F53E8">
              <w:rPr>
                <w:rFonts w:ascii="Arial" w:eastAsia="宋体" w:hAnsi="Arial" w:cs="Arial"/>
                <w:sz w:val="21"/>
                <w:szCs w:val="21"/>
              </w:rPr>
              <w:t>年</w:t>
            </w:r>
            <w:r w:rsidRPr="003F53E8">
              <w:rPr>
                <w:rFonts w:ascii="Arial" w:eastAsia="宋体" w:hAnsi="Arial" w:cs="Arial"/>
                <w:sz w:val="21"/>
                <w:szCs w:val="21"/>
              </w:rPr>
              <w:t>7</w:t>
            </w:r>
            <w:r w:rsidRPr="003F53E8">
              <w:rPr>
                <w:rFonts w:ascii="Arial" w:eastAsia="宋体" w:hAnsi="Arial" w:cs="Arial"/>
                <w:sz w:val="21"/>
                <w:szCs w:val="21"/>
              </w:rPr>
              <w:t>月</w:t>
            </w:r>
            <w:r w:rsidRPr="003F53E8">
              <w:rPr>
                <w:rFonts w:ascii="Arial" w:eastAsia="宋体" w:hAnsi="Arial" w:cs="Arial"/>
                <w:sz w:val="21"/>
                <w:szCs w:val="21"/>
              </w:rPr>
              <w:t>11</w:t>
            </w:r>
            <w:r w:rsidRPr="003F53E8">
              <w:rPr>
                <w:rFonts w:ascii="Arial" w:eastAsia="宋体" w:hAnsi="Arial" w:cs="Arial"/>
                <w:sz w:val="21"/>
                <w:szCs w:val="21"/>
              </w:rPr>
              <w:t>日至</w:t>
            </w:r>
            <w:r w:rsidRPr="003F53E8">
              <w:rPr>
                <w:rFonts w:ascii="Arial" w:eastAsia="宋体" w:hAnsi="Arial" w:cs="Arial"/>
                <w:sz w:val="21"/>
                <w:szCs w:val="21"/>
              </w:rPr>
              <w:t>2025</w:t>
            </w:r>
            <w:r w:rsidRPr="003F53E8">
              <w:rPr>
                <w:rFonts w:ascii="Arial" w:eastAsia="宋体" w:hAnsi="Arial" w:cs="Arial"/>
                <w:sz w:val="21"/>
                <w:szCs w:val="21"/>
              </w:rPr>
              <w:t>年</w:t>
            </w:r>
            <w:r w:rsidRPr="003F53E8">
              <w:rPr>
                <w:rFonts w:ascii="Arial" w:eastAsia="宋体" w:hAnsi="Arial" w:cs="Arial"/>
                <w:sz w:val="21"/>
                <w:szCs w:val="21"/>
              </w:rPr>
              <w:t>9</w:t>
            </w:r>
            <w:r w:rsidRPr="003F53E8">
              <w:rPr>
                <w:rFonts w:ascii="Arial" w:eastAsia="宋体" w:hAnsi="Arial" w:cs="Arial"/>
                <w:sz w:val="21"/>
                <w:szCs w:val="21"/>
              </w:rPr>
              <w:t>月</w:t>
            </w:r>
            <w:r w:rsidRPr="003F53E8">
              <w:rPr>
                <w:rFonts w:ascii="Arial" w:eastAsia="宋体" w:hAnsi="Arial" w:cs="Arial"/>
                <w:sz w:val="21"/>
                <w:szCs w:val="21"/>
              </w:rPr>
              <w:t>4</w:t>
            </w:r>
            <w:r w:rsidRPr="003F53E8">
              <w:rPr>
                <w:rFonts w:ascii="Arial" w:eastAsia="宋体" w:hAnsi="Arial" w:cs="Arial"/>
                <w:sz w:val="21"/>
                <w:szCs w:val="21"/>
              </w:rPr>
              <w:t>日</w:t>
            </w:r>
          </w:p>
        </w:tc>
      </w:tr>
      <w:tr w:rsidR="00CB42DE" w:rsidRPr="003F53E8" w14:paraId="6C1A094B" w14:textId="77777777" w:rsidTr="005625C5">
        <w:trPr>
          <w:trHeight w:val="460"/>
        </w:trPr>
        <w:tc>
          <w:tcPr>
            <w:tcW w:w="2699" w:type="dxa"/>
            <w:gridSpan w:val="4"/>
            <w:vAlign w:val="center"/>
          </w:tcPr>
          <w:p w14:paraId="5802F35D" w14:textId="77777777" w:rsidR="00CB42DE" w:rsidRPr="003F53E8" w:rsidRDefault="0008421B">
            <w:pPr>
              <w:pStyle w:val="TableParagraph"/>
              <w:spacing w:line="400" w:lineRule="exact"/>
              <w:ind w:left="746"/>
              <w:rPr>
                <w:rFonts w:ascii="Arial" w:eastAsia="宋体" w:hAnsi="Arial" w:cs="Arial"/>
                <w:sz w:val="21"/>
                <w:szCs w:val="21"/>
              </w:rPr>
            </w:pPr>
            <w:r w:rsidRPr="003F53E8">
              <w:rPr>
                <w:rFonts w:ascii="Arial" w:eastAsia="宋体" w:hAnsi="Arial" w:cs="Arial"/>
                <w:sz w:val="21"/>
                <w:szCs w:val="21"/>
              </w:rPr>
              <w:t>权益变动过程</w:t>
            </w:r>
          </w:p>
        </w:tc>
        <w:tc>
          <w:tcPr>
            <w:tcW w:w="6378" w:type="dxa"/>
            <w:gridSpan w:val="4"/>
          </w:tcPr>
          <w:p w14:paraId="64F1A514" w14:textId="77777777" w:rsidR="00CB42DE" w:rsidRPr="003F53E8" w:rsidRDefault="0008421B">
            <w:pPr>
              <w:pStyle w:val="TableParagraph"/>
              <w:spacing w:line="300" w:lineRule="auto"/>
              <w:ind w:firstLineChars="200" w:firstLine="420"/>
              <w:jc w:val="both"/>
              <w:rPr>
                <w:rFonts w:ascii="Arial" w:eastAsia="宋体" w:hAnsi="Arial" w:cs="Arial"/>
                <w:sz w:val="21"/>
                <w:szCs w:val="21"/>
              </w:rPr>
            </w:pPr>
            <w:r w:rsidRPr="003F53E8">
              <w:rPr>
                <w:rFonts w:ascii="Arial" w:eastAsia="宋体" w:hAnsi="Arial" w:cs="Arial"/>
                <w:sz w:val="21"/>
                <w:szCs w:val="21"/>
              </w:rPr>
              <w:t xml:space="preserve">2025 </w:t>
            </w:r>
            <w:r w:rsidRPr="003F53E8">
              <w:rPr>
                <w:rFonts w:ascii="Arial" w:eastAsia="宋体" w:hAnsi="Arial" w:cs="Arial"/>
                <w:sz w:val="21"/>
                <w:szCs w:val="21"/>
              </w:rPr>
              <w:t>年</w:t>
            </w:r>
            <w:r w:rsidRPr="003F53E8">
              <w:rPr>
                <w:rFonts w:ascii="Arial" w:eastAsia="宋体" w:hAnsi="Arial" w:cs="Arial"/>
                <w:sz w:val="21"/>
                <w:szCs w:val="21"/>
              </w:rPr>
              <w:t xml:space="preserve"> 4</w:t>
            </w:r>
            <w:r w:rsidRPr="003F53E8">
              <w:rPr>
                <w:rFonts w:ascii="Arial" w:eastAsia="宋体" w:hAnsi="Arial" w:cs="Arial"/>
                <w:sz w:val="21"/>
                <w:szCs w:val="21"/>
              </w:rPr>
              <w:t>月</w:t>
            </w:r>
            <w:r w:rsidRPr="003F53E8">
              <w:rPr>
                <w:rFonts w:ascii="Arial" w:eastAsia="宋体" w:hAnsi="Arial" w:cs="Arial"/>
                <w:sz w:val="21"/>
                <w:szCs w:val="21"/>
              </w:rPr>
              <w:t xml:space="preserve"> 10 </w:t>
            </w:r>
            <w:r w:rsidRPr="003F53E8">
              <w:rPr>
                <w:rFonts w:ascii="Arial" w:eastAsia="宋体" w:hAnsi="Arial" w:cs="Arial"/>
                <w:sz w:val="21"/>
                <w:szCs w:val="21"/>
              </w:rPr>
              <w:t>日至</w:t>
            </w:r>
            <w:r w:rsidRPr="003F53E8">
              <w:rPr>
                <w:rFonts w:ascii="Arial" w:eastAsia="宋体" w:hAnsi="Arial" w:cs="Arial"/>
                <w:sz w:val="21"/>
                <w:szCs w:val="21"/>
              </w:rPr>
              <w:t xml:space="preserve"> 2025 </w:t>
            </w:r>
            <w:r w:rsidRPr="003F53E8">
              <w:rPr>
                <w:rFonts w:ascii="Arial" w:eastAsia="宋体" w:hAnsi="Arial" w:cs="Arial"/>
                <w:sz w:val="21"/>
                <w:szCs w:val="21"/>
              </w:rPr>
              <w:t>年</w:t>
            </w:r>
            <w:r w:rsidRPr="003F53E8">
              <w:rPr>
                <w:rFonts w:ascii="Arial" w:eastAsia="宋体" w:hAnsi="Arial" w:cs="Arial"/>
                <w:sz w:val="21"/>
                <w:szCs w:val="21"/>
              </w:rPr>
              <w:t xml:space="preserve"> 7 </w:t>
            </w:r>
            <w:r w:rsidRPr="003F53E8">
              <w:rPr>
                <w:rFonts w:ascii="Arial" w:eastAsia="宋体" w:hAnsi="Arial" w:cs="Arial"/>
                <w:sz w:val="21"/>
                <w:szCs w:val="21"/>
              </w:rPr>
              <w:t>月</w:t>
            </w:r>
            <w:r w:rsidRPr="003F53E8">
              <w:rPr>
                <w:rFonts w:ascii="Arial" w:eastAsia="宋体" w:hAnsi="Arial" w:cs="Arial"/>
                <w:sz w:val="21"/>
                <w:szCs w:val="21"/>
              </w:rPr>
              <w:t xml:space="preserve"> 10 </w:t>
            </w:r>
            <w:r w:rsidRPr="003F53E8">
              <w:rPr>
                <w:rFonts w:ascii="Arial" w:eastAsia="宋体" w:hAnsi="Arial" w:cs="Arial"/>
                <w:sz w:val="21"/>
                <w:szCs w:val="21"/>
              </w:rPr>
              <w:t>日期间，宝钛集团通过深圳证券交易所交易系统以集中竞价方式累计增持公司股份</w:t>
            </w:r>
            <w:r w:rsidRPr="003F53E8">
              <w:rPr>
                <w:rFonts w:ascii="Arial" w:eastAsia="宋体" w:hAnsi="Arial" w:cs="Arial"/>
                <w:sz w:val="21"/>
                <w:szCs w:val="21"/>
              </w:rPr>
              <w:t xml:space="preserve"> 1,550,900 </w:t>
            </w:r>
            <w:r w:rsidRPr="003F53E8">
              <w:rPr>
                <w:rFonts w:ascii="Arial" w:eastAsia="宋体" w:hAnsi="Arial" w:cs="Arial"/>
                <w:sz w:val="21"/>
                <w:szCs w:val="21"/>
              </w:rPr>
              <w:t>股，占公司总股本的</w:t>
            </w:r>
            <w:r w:rsidRPr="003F53E8">
              <w:rPr>
                <w:rFonts w:ascii="Arial" w:eastAsia="宋体" w:hAnsi="Arial" w:cs="Arial"/>
                <w:sz w:val="21"/>
                <w:szCs w:val="21"/>
              </w:rPr>
              <w:t>0.63%</w:t>
            </w:r>
            <w:r w:rsidRPr="003F53E8">
              <w:rPr>
                <w:rFonts w:ascii="Arial" w:eastAsia="宋体" w:hAnsi="Arial" w:cs="Arial"/>
                <w:sz w:val="21"/>
                <w:szCs w:val="21"/>
              </w:rPr>
              <w:t>，累计增持金额为</w:t>
            </w:r>
            <w:r w:rsidRPr="003F53E8">
              <w:rPr>
                <w:rFonts w:ascii="Arial" w:eastAsia="宋体" w:hAnsi="Arial" w:cs="Arial"/>
                <w:sz w:val="21"/>
                <w:szCs w:val="21"/>
              </w:rPr>
              <w:t xml:space="preserve">27,697,457.00 </w:t>
            </w:r>
            <w:r w:rsidRPr="003F53E8">
              <w:rPr>
                <w:rFonts w:ascii="Arial" w:eastAsia="宋体" w:hAnsi="Arial" w:cs="Arial"/>
                <w:sz w:val="21"/>
                <w:szCs w:val="21"/>
              </w:rPr>
              <w:t>元（不含交易费用），增持后宝钛集团持有公司股份</w:t>
            </w:r>
            <w:r w:rsidRPr="003F53E8">
              <w:rPr>
                <w:rFonts w:ascii="Arial" w:eastAsia="宋体" w:hAnsi="Arial" w:cs="Arial"/>
                <w:sz w:val="21"/>
                <w:szCs w:val="21"/>
              </w:rPr>
              <w:t xml:space="preserve">117,750,900 </w:t>
            </w:r>
            <w:r w:rsidRPr="003F53E8">
              <w:rPr>
                <w:rFonts w:ascii="Arial" w:eastAsia="宋体" w:hAnsi="Arial" w:cs="Arial"/>
                <w:sz w:val="21"/>
                <w:szCs w:val="21"/>
              </w:rPr>
              <w:t>股，占公司总股本的</w:t>
            </w:r>
            <w:r w:rsidRPr="003F53E8">
              <w:rPr>
                <w:rFonts w:ascii="Arial" w:eastAsia="宋体" w:hAnsi="Arial" w:cs="Arial"/>
                <w:sz w:val="21"/>
                <w:szCs w:val="21"/>
              </w:rPr>
              <w:t xml:space="preserve"> 47.71%</w:t>
            </w:r>
            <w:r w:rsidRPr="003F53E8">
              <w:rPr>
                <w:rFonts w:ascii="Arial" w:eastAsia="宋体" w:hAnsi="Arial" w:cs="Arial"/>
                <w:sz w:val="21"/>
                <w:szCs w:val="21"/>
              </w:rPr>
              <w:t>。具体内容详见公司于</w:t>
            </w:r>
            <w:r w:rsidRPr="003F53E8">
              <w:rPr>
                <w:rFonts w:ascii="Arial" w:eastAsia="宋体" w:hAnsi="Arial" w:cs="Arial"/>
                <w:sz w:val="21"/>
                <w:szCs w:val="21"/>
              </w:rPr>
              <w:t>2025</w:t>
            </w:r>
            <w:r w:rsidRPr="003F53E8">
              <w:rPr>
                <w:rFonts w:ascii="Arial" w:eastAsia="宋体" w:hAnsi="Arial" w:cs="Arial"/>
                <w:sz w:val="21"/>
                <w:szCs w:val="21"/>
              </w:rPr>
              <w:t>年</w:t>
            </w:r>
            <w:r w:rsidRPr="003F53E8">
              <w:rPr>
                <w:rFonts w:ascii="Arial" w:eastAsia="宋体" w:hAnsi="Arial" w:cs="Arial"/>
                <w:sz w:val="21"/>
                <w:szCs w:val="21"/>
              </w:rPr>
              <w:t>7</w:t>
            </w:r>
            <w:r w:rsidRPr="003F53E8">
              <w:rPr>
                <w:rFonts w:ascii="Arial" w:eastAsia="宋体" w:hAnsi="Arial" w:cs="Arial"/>
                <w:sz w:val="21"/>
                <w:szCs w:val="21"/>
              </w:rPr>
              <w:t>月</w:t>
            </w:r>
            <w:r w:rsidRPr="003F53E8">
              <w:rPr>
                <w:rFonts w:ascii="Arial" w:eastAsia="宋体" w:hAnsi="Arial" w:cs="Arial"/>
                <w:sz w:val="21"/>
                <w:szCs w:val="21"/>
              </w:rPr>
              <w:t>11</w:t>
            </w:r>
            <w:r w:rsidRPr="003F53E8">
              <w:rPr>
                <w:rFonts w:ascii="Arial" w:eastAsia="宋体" w:hAnsi="Arial" w:cs="Arial"/>
                <w:sz w:val="21"/>
                <w:szCs w:val="21"/>
              </w:rPr>
              <w:t>日在巨潮资讯网上披露的《关于控股股东增持股份计划实施期限过半的进展公告》（公告编号：</w:t>
            </w:r>
            <w:r w:rsidRPr="003F53E8">
              <w:rPr>
                <w:rFonts w:ascii="Arial" w:eastAsia="宋体" w:hAnsi="Arial" w:cs="Arial"/>
                <w:sz w:val="21"/>
                <w:szCs w:val="21"/>
              </w:rPr>
              <w:t>2025-036</w:t>
            </w:r>
            <w:r w:rsidRPr="003F53E8">
              <w:rPr>
                <w:rFonts w:ascii="Arial" w:eastAsia="宋体" w:hAnsi="Arial" w:cs="Arial"/>
                <w:sz w:val="21"/>
                <w:szCs w:val="21"/>
              </w:rPr>
              <w:t>）。</w:t>
            </w:r>
          </w:p>
          <w:p w14:paraId="66C131D1" w14:textId="409F1708" w:rsidR="00CB42DE" w:rsidRPr="003F53E8" w:rsidRDefault="0008421B" w:rsidP="005625C5">
            <w:pPr>
              <w:pStyle w:val="TableParagraph"/>
              <w:spacing w:line="300" w:lineRule="auto"/>
              <w:ind w:firstLineChars="200" w:firstLine="420"/>
              <w:jc w:val="both"/>
              <w:rPr>
                <w:rFonts w:ascii="Arial" w:eastAsia="宋体" w:hAnsi="Arial" w:cs="Arial"/>
                <w:sz w:val="21"/>
                <w:szCs w:val="21"/>
              </w:rPr>
            </w:pPr>
            <w:r w:rsidRPr="003F53E8">
              <w:rPr>
                <w:rFonts w:ascii="Arial" w:eastAsia="宋体" w:hAnsi="Arial" w:cs="Arial"/>
                <w:sz w:val="21"/>
                <w:szCs w:val="21"/>
              </w:rPr>
              <w:t xml:space="preserve">2025 </w:t>
            </w:r>
            <w:r w:rsidRPr="003F53E8">
              <w:rPr>
                <w:rFonts w:ascii="Arial" w:eastAsia="宋体" w:hAnsi="Arial" w:cs="Arial"/>
                <w:sz w:val="21"/>
                <w:szCs w:val="21"/>
              </w:rPr>
              <w:t>年</w:t>
            </w:r>
            <w:r w:rsidRPr="003F53E8">
              <w:rPr>
                <w:rFonts w:ascii="Arial" w:eastAsia="宋体" w:hAnsi="Arial" w:cs="Arial"/>
                <w:sz w:val="21"/>
                <w:szCs w:val="21"/>
              </w:rPr>
              <w:t xml:space="preserve"> 7</w:t>
            </w:r>
            <w:r w:rsidRPr="003F53E8">
              <w:rPr>
                <w:rFonts w:ascii="Arial" w:eastAsia="宋体" w:hAnsi="Arial" w:cs="Arial"/>
                <w:sz w:val="21"/>
                <w:szCs w:val="21"/>
              </w:rPr>
              <w:t>月</w:t>
            </w:r>
            <w:r w:rsidRPr="003F53E8">
              <w:rPr>
                <w:rFonts w:ascii="Arial" w:eastAsia="宋体" w:hAnsi="Arial" w:cs="Arial"/>
                <w:sz w:val="21"/>
                <w:szCs w:val="21"/>
              </w:rPr>
              <w:t xml:space="preserve"> 11 </w:t>
            </w:r>
            <w:r w:rsidRPr="003F53E8">
              <w:rPr>
                <w:rFonts w:ascii="Arial" w:eastAsia="宋体" w:hAnsi="Arial" w:cs="Arial"/>
                <w:sz w:val="21"/>
                <w:szCs w:val="21"/>
              </w:rPr>
              <w:t>日至</w:t>
            </w:r>
            <w:r w:rsidRPr="003F53E8">
              <w:rPr>
                <w:rFonts w:ascii="Arial" w:eastAsia="宋体" w:hAnsi="Arial" w:cs="Arial"/>
                <w:sz w:val="21"/>
                <w:szCs w:val="21"/>
              </w:rPr>
              <w:t xml:space="preserve"> 2025 </w:t>
            </w:r>
            <w:r w:rsidRPr="003F53E8">
              <w:rPr>
                <w:rFonts w:ascii="Arial" w:eastAsia="宋体" w:hAnsi="Arial" w:cs="Arial"/>
                <w:sz w:val="21"/>
                <w:szCs w:val="21"/>
              </w:rPr>
              <w:t>年</w:t>
            </w:r>
            <w:r w:rsidRPr="003F53E8">
              <w:rPr>
                <w:rFonts w:ascii="Arial" w:eastAsia="宋体" w:hAnsi="Arial" w:cs="Arial"/>
                <w:sz w:val="21"/>
                <w:szCs w:val="21"/>
              </w:rPr>
              <w:t xml:space="preserve"> 9 </w:t>
            </w:r>
            <w:r w:rsidRPr="003F53E8">
              <w:rPr>
                <w:rFonts w:ascii="Arial" w:eastAsia="宋体" w:hAnsi="Arial" w:cs="Arial"/>
                <w:sz w:val="21"/>
                <w:szCs w:val="21"/>
              </w:rPr>
              <w:t>月</w:t>
            </w:r>
            <w:r w:rsidRPr="003F53E8">
              <w:rPr>
                <w:rFonts w:ascii="Arial" w:eastAsia="宋体" w:hAnsi="Arial" w:cs="Arial"/>
                <w:sz w:val="21"/>
                <w:szCs w:val="21"/>
              </w:rPr>
              <w:t xml:space="preserve"> 4 </w:t>
            </w:r>
            <w:r w:rsidRPr="003F53E8">
              <w:rPr>
                <w:rFonts w:ascii="Arial" w:eastAsia="宋体" w:hAnsi="Arial" w:cs="Arial"/>
                <w:sz w:val="21"/>
                <w:szCs w:val="21"/>
              </w:rPr>
              <w:t>日期间，通过深圳证券交易所交易系统以集中竞价方式累计增持公司股份</w:t>
            </w:r>
            <w:r w:rsidRPr="003F53E8">
              <w:rPr>
                <w:rFonts w:ascii="Arial" w:eastAsia="宋体" w:hAnsi="Arial" w:cs="Arial"/>
                <w:sz w:val="21"/>
                <w:szCs w:val="21"/>
              </w:rPr>
              <w:t xml:space="preserve"> 917,100</w:t>
            </w:r>
            <w:r w:rsidRPr="003F53E8">
              <w:rPr>
                <w:rFonts w:ascii="Arial" w:eastAsia="宋体" w:hAnsi="Arial" w:cs="Arial"/>
                <w:sz w:val="21"/>
                <w:szCs w:val="21"/>
              </w:rPr>
              <w:t>股，占公司总股本的</w:t>
            </w:r>
            <w:r w:rsidRPr="003F53E8">
              <w:rPr>
                <w:rFonts w:ascii="Arial" w:eastAsia="宋体" w:hAnsi="Arial" w:cs="Arial"/>
                <w:sz w:val="21"/>
                <w:szCs w:val="21"/>
              </w:rPr>
              <w:t>0.37%</w:t>
            </w:r>
            <w:r w:rsidRPr="003F53E8">
              <w:rPr>
                <w:rFonts w:ascii="Arial" w:eastAsia="宋体" w:hAnsi="Arial" w:cs="Arial"/>
                <w:sz w:val="21"/>
                <w:szCs w:val="21"/>
              </w:rPr>
              <w:t>，累计增持金额为</w:t>
            </w:r>
            <w:r w:rsidR="005625C5" w:rsidRPr="003F53E8">
              <w:rPr>
                <w:rFonts w:ascii="Arial" w:eastAsia="宋体" w:hAnsi="Arial" w:cs="Arial"/>
                <w:sz w:val="21"/>
                <w:szCs w:val="21"/>
              </w:rPr>
              <w:t>16,474</w:t>
            </w:r>
            <w:r w:rsidRPr="003F53E8">
              <w:rPr>
                <w:rFonts w:ascii="Arial" w:eastAsia="宋体" w:hAnsi="Arial" w:cs="Arial"/>
                <w:sz w:val="21"/>
                <w:szCs w:val="21"/>
              </w:rPr>
              <w:t>,708</w:t>
            </w:r>
            <w:r w:rsidR="005625C5" w:rsidRPr="003F53E8">
              <w:rPr>
                <w:rFonts w:ascii="Arial" w:eastAsia="宋体" w:hAnsi="Arial" w:cs="Arial"/>
                <w:sz w:val="21"/>
                <w:szCs w:val="21"/>
              </w:rPr>
              <w:t>.00</w:t>
            </w:r>
            <w:r w:rsidRPr="003F53E8">
              <w:rPr>
                <w:rFonts w:ascii="Arial" w:eastAsia="宋体" w:hAnsi="Arial" w:cs="Arial"/>
                <w:sz w:val="21"/>
                <w:szCs w:val="21"/>
              </w:rPr>
              <w:t>元（不含交易费用）。本次增持后，宝钛集团持有公司股份</w:t>
            </w:r>
            <w:r w:rsidRPr="003F53E8">
              <w:rPr>
                <w:rFonts w:ascii="Arial" w:eastAsia="宋体" w:hAnsi="Arial" w:cs="Arial"/>
                <w:sz w:val="21"/>
                <w:szCs w:val="21"/>
              </w:rPr>
              <w:t>118,668,000</w:t>
            </w:r>
            <w:r w:rsidRPr="003F53E8">
              <w:rPr>
                <w:rFonts w:ascii="Arial" w:eastAsia="宋体" w:hAnsi="Arial" w:cs="Arial"/>
                <w:sz w:val="21"/>
                <w:szCs w:val="21"/>
              </w:rPr>
              <w:t>股，占公司总股本的比例由</w:t>
            </w:r>
            <w:r w:rsidRPr="003F53E8">
              <w:rPr>
                <w:rFonts w:ascii="Arial" w:eastAsia="宋体" w:hAnsi="Arial" w:cs="Arial"/>
                <w:sz w:val="21"/>
                <w:szCs w:val="21"/>
              </w:rPr>
              <w:t>47.71%</w:t>
            </w:r>
            <w:r w:rsidRPr="003F53E8">
              <w:rPr>
                <w:rFonts w:ascii="Arial" w:eastAsia="宋体" w:hAnsi="Arial" w:cs="Arial"/>
                <w:sz w:val="21"/>
                <w:szCs w:val="21"/>
              </w:rPr>
              <w:t>增加至</w:t>
            </w:r>
            <w:r w:rsidRPr="003F53E8">
              <w:rPr>
                <w:rFonts w:ascii="Arial" w:eastAsia="宋体" w:hAnsi="Arial" w:cs="Arial"/>
                <w:sz w:val="21"/>
                <w:szCs w:val="21"/>
              </w:rPr>
              <w:t>48.08%</w:t>
            </w:r>
            <w:r w:rsidR="00781D4C" w:rsidRPr="003F53E8">
              <w:rPr>
                <w:rFonts w:ascii="Arial" w:eastAsia="宋体" w:hAnsi="Arial" w:cs="Arial"/>
                <w:sz w:val="21"/>
                <w:szCs w:val="21"/>
              </w:rPr>
              <w:t>，权益变动触及</w:t>
            </w:r>
            <w:r w:rsidRPr="003F53E8">
              <w:rPr>
                <w:rFonts w:ascii="Arial" w:eastAsia="宋体" w:hAnsi="Arial" w:cs="Arial"/>
                <w:sz w:val="21"/>
                <w:szCs w:val="21"/>
              </w:rPr>
              <w:t>1%</w:t>
            </w:r>
            <w:r w:rsidRPr="003F53E8">
              <w:rPr>
                <w:rFonts w:ascii="Arial" w:eastAsia="宋体" w:hAnsi="Arial" w:cs="Arial"/>
                <w:sz w:val="21"/>
                <w:szCs w:val="21"/>
              </w:rPr>
              <w:t>的整数倍。</w:t>
            </w:r>
          </w:p>
        </w:tc>
      </w:tr>
      <w:tr w:rsidR="00CB42DE" w:rsidRPr="003F53E8" w14:paraId="420D04EF" w14:textId="77777777" w:rsidTr="005625C5">
        <w:trPr>
          <w:trHeight w:val="458"/>
        </w:trPr>
        <w:tc>
          <w:tcPr>
            <w:tcW w:w="1689" w:type="dxa"/>
            <w:vAlign w:val="center"/>
          </w:tcPr>
          <w:p w14:paraId="41FA2231" w14:textId="77777777" w:rsidR="00CB42DE" w:rsidRPr="003F53E8" w:rsidRDefault="0008421B">
            <w:pPr>
              <w:pStyle w:val="TableParagraph"/>
              <w:ind w:left="146"/>
              <w:jc w:val="center"/>
              <w:rPr>
                <w:rFonts w:ascii="Arial" w:eastAsia="宋体" w:hAnsi="Arial" w:cs="Arial"/>
                <w:sz w:val="21"/>
                <w:szCs w:val="21"/>
              </w:rPr>
            </w:pPr>
            <w:r w:rsidRPr="003F53E8">
              <w:rPr>
                <w:rFonts w:ascii="Arial" w:eastAsia="宋体" w:hAnsi="Arial" w:cs="Arial"/>
                <w:sz w:val="21"/>
                <w:szCs w:val="21"/>
              </w:rPr>
              <w:t>股票简称</w:t>
            </w:r>
          </w:p>
        </w:tc>
        <w:tc>
          <w:tcPr>
            <w:tcW w:w="2569" w:type="dxa"/>
            <w:gridSpan w:val="4"/>
            <w:vAlign w:val="center"/>
          </w:tcPr>
          <w:p w14:paraId="697385AD"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宝色股份</w:t>
            </w:r>
          </w:p>
        </w:tc>
        <w:tc>
          <w:tcPr>
            <w:tcW w:w="1843" w:type="dxa"/>
            <w:vAlign w:val="center"/>
          </w:tcPr>
          <w:p w14:paraId="689087AC" w14:textId="77777777" w:rsidR="00CB42DE" w:rsidRPr="003F53E8" w:rsidRDefault="0008421B">
            <w:pPr>
              <w:pStyle w:val="TableParagraph"/>
              <w:ind w:left="335" w:right="326"/>
              <w:jc w:val="center"/>
              <w:rPr>
                <w:rFonts w:ascii="Arial" w:eastAsia="宋体" w:hAnsi="Arial" w:cs="Arial"/>
                <w:sz w:val="21"/>
                <w:szCs w:val="21"/>
              </w:rPr>
            </w:pPr>
            <w:r w:rsidRPr="003F53E8">
              <w:rPr>
                <w:rFonts w:ascii="Arial" w:eastAsia="宋体" w:hAnsi="Arial" w:cs="Arial"/>
                <w:sz w:val="21"/>
                <w:szCs w:val="21"/>
              </w:rPr>
              <w:t>股票代码</w:t>
            </w:r>
          </w:p>
        </w:tc>
        <w:tc>
          <w:tcPr>
            <w:tcW w:w="2976" w:type="dxa"/>
            <w:gridSpan w:val="2"/>
            <w:vAlign w:val="center"/>
          </w:tcPr>
          <w:p w14:paraId="113D6032"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300402</w:t>
            </w:r>
          </w:p>
        </w:tc>
      </w:tr>
      <w:tr w:rsidR="005625C5" w:rsidRPr="003F53E8" w14:paraId="6EF82201" w14:textId="77777777" w:rsidTr="00647918">
        <w:trPr>
          <w:trHeight w:val="699"/>
        </w:trPr>
        <w:tc>
          <w:tcPr>
            <w:tcW w:w="1689" w:type="dxa"/>
            <w:vAlign w:val="center"/>
          </w:tcPr>
          <w:p w14:paraId="47B55150" w14:textId="77777777" w:rsidR="00647918" w:rsidRPr="003F53E8" w:rsidRDefault="005625C5" w:rsidP="00647918">
            <w:pPr>
              <w:pStyle w:val="TableParagraph"/>
              <w:ind w:left="130" w:right="125"/>
              <w:jc w:val="center"/>
              <w:rPr>
                <w:rFonts w:ascii="Arial" w:eastAsia="宋体" w:hAnsi="Arial" w:cs="Arial"/>
                <w:sz w:val="21"/>
                <w:szCs w:val="21"/>
              </w:rPr>
            </w:pPr>
            <w:r w:rsidRPr="003F53E8">
              <w:rPr>
                <w:rFonts w:ascii="Arial" w:eastAsia="宋体" w:hAnsi="Arial" w:cs="Arial"/>
                <w:sz w:val="21"/>
                <w:szCs w:val="21"/>
              </w:rPr>
              <w:t>变动类型</w:t>
            </w:r>
          </w:p>
          <w:p w14:paraId="32264634" w14:textId="0A85BD21" w:rsidR="005625C5" w:rsidRPr="003F53E8" w:rsidRDefault="005625C5" w:rsidP="00647918">
            <w:pPr>
              <w:pStyle w:val="TableParagraph"/>
              <w:ind w:left="130" w:right="125"/>
              <w:jc w:val="center"/>
              <w:rPr>
                <w:rFonts w:ascii="Arial" w:eastAsia="宋体" w:hAnsi="Arial" w:cs="Arial"/>
                <w:sz w:val="21"/>
                <w:szCs w:val="21"/>
              </w:rPr>
            </w:pPr>
            <w:r w:rsidRPr="003F53E8">
              <w:rPr>
                <w:rFonts w:ascii="Arial" w:eastAsia="宋体" w:hAnsi="Arial" w:cs="Arial"/>
                <w:sz w:val="21"/>
                <w:szCs w:val="21"/>
              </w:rPr>
              <w:t>（可多选）</w:t>
            </w:r>
          </w:p>
        </w:tc>
        <w:tc>
          <w:tcPr>
            <w:tcW w:w="2569" w:type="dxa"/>
            <w:gridSpan w:val="4"/>
            <w:vAlign w:val="center"/>
          </w:tcPr>
          <w:p w14:paraId="7ECE81A5" w14:textId="1E1CC5E4" w:rsidR="005625C5" w:rsidRPr="003F53E8" w:rsidRDefault="004A47DE">
            <w:pPr>
              <w:pStyle w:val="TableParagraph"/>
              <w:adjustRightInd w:val="0"/>
              <w:snapToGrid w:val="0"/>
              <w:ind w:firstLineChars="150" w:firstLine="315"/>
              <w:rPr>
                <w:rFonts w:ascii="Arial" w:eastAsia="宋体" w:hAnsi="Arial" w:cs="Arial"/>
                <w:sz w:val="21"/>
                <w:szCs w:val="21"/>
              </w:rPr>
            </w:pPr>
            <w:r w:rsidRPr="003F53E8">
              <w:rPr>
                <w:rFonts w:ascii="Arial" w:eastAsia="宋体" w:hAnsi="Arial" w:cs="Arial"/>
                <w:sz w:val="21"/>
                <w:szCs w:val="21"/>
              </w:rPr>
              <w:t>上升</w:t>
            </w:r>
            <w:r w:rsidR="005625C5" w:rsidRPr="003F53E8">
              <w:rPr>
                <w:rFonts w:ascii="Arial" w:eastAsia="宋体" w:hAnsi="Arial" w:cs="Arial"/>
                <w:sz w:val="24"/>
                <w:szCs w:val="24"/>
              </w:rPr>
              <w:sym w:font="Wingdings 2" w:char="F052"/>
            </w:r>
            <w:r w:rsidR="005625C5" w:rsidRPr="003F53E8">
              <w:rPr>
                <w:rFonts w:ascii="Arial" w:eastAsia="宋体" w:hAnsi="Arial" w:cs="Arial"/>
                <w:sz w:val="21"/>
                <w:szCs w:val="21"/>
              </w:rPr>
              <w:t xml:space="preserve">   </w:t>
            </w:r>
            <w:r w:rsidRPr="003F53E8">
              <w:rPr>
                <w:rFonts w:ascii="Arial" w:eastAsia="宋体" w:hAnsi="Arial" w:cs="Arial"/>
                <w:sz w:val="21"/>
                <w:szCs w:val="21"/>
              </w:rPr>
              <w:t>下降</w:t>
            </w:r>
            <w:r w:rsidR="00705C1B" w:rsidRPr="00705C1B">
              <w:rPr>
                <w:rFonts w:ascii="宋体" w:eastAsia="宋体" w:hAnsi="宋体" w:cs="Arial"/>
                <w:sz w:val="21"/>
                <w:szCs w:val="21"/>
              </w:rPr>
              <w:t>□</w:t>
            </w:r>
          </w:p>
        </w:tc>
        <w:tc>
          <w:tcPr>
            <w:tcW w:w="1843" w:type="dxa"/>
            <w:vAlign w:val="center"/>
          </w:tcPr>
          <w:p w14:paraId="1EB7BBFD" w14:textId="77777777" w:rsidR="005625C5" w:rsidRPr="003F53E8" w:rsidRDefault="005625C5">
            <w:pPr>
              <w:pStyle w:val="TableParagraph"/>
              <w:adjustRightInd w:val="0"/>
              <w:snapToGrid w:val="0"/>
              <w:ind w:left="335" w:right="323"/>
              <w:jc w:val="center"/>
              <w:rPr>
                <w:rFonts w:ascii="Arial" w:eastAsia="宋体" w:hAnsi="Arial" w:cs="Arial"/>
                <w:sz w:val="21"/>
                <w:szCs w:val="21"/>
              </w:rPr>
            </w:pPr>
            <w:r w:rsidRPr="003F53E8">
              <w:rPr>
                <w:rFonts w:ascii="Arial" w:eastAsia="宋体" w:hAnsi="Arial" w:cs="Arial"/>
                <w:sz w:val="21"/>
                <w:szCs w:val="21"/>
              </w:rPr>
              <w:t>一致行动人</w:t>
            </w:r>
          </w:p>
        </w:tc>
        <w:tc>
          <w:tcPr>
            <w:tcW w:w="2976" w:type="dxa"/>
            <w:gridSpan w:val="2"/>
            <w:vAlign w:val="center"/>
          </w:tcPr>
          <w:p w14:paraId="0671D8CA" w14:textId="06D15EEF" w:rsidR="005625C5" w:rsidRPr="003F53E8" w:rsidRDefault="005625C5">
            <w:pPr>
              <w:pStyle w:val="TableParagraph"/>
              <w:tabs>
                <w:tab w:val="left" w:pos="1833"/>
              </w:tabs>
              <w:adjustRightInd w:val="0"/>
              <w:snapToGrid w:val="0"/>
              <w:ind w:firstLineChars="450" w:firstLine="945"/>
              <w:rPr>
                <w:rFonts w:ascii="Arial" w:eastAsia="宋体" w:hAnsi="Arial" w:cs="Arial"/>
                <w:sz w:val="21"/>
                <w:szCs w:val="21"/>
              </w:rPr>
            </w:pPr>
            <w:r w:rsidRPr="003F53E8">
              <w:rPr>
                <w:rFonts w:ascii="Arial" w:eastAsia="宋体" w:hAnsi="Arial" w:cs="Arial"/>
                <w:sz w:val="21"/>
                <w:szCs w:val="21"/>
              </w:rPr>
              <w:t>有</w:t>
            </w:r>
            <w:r w:rsidR="00705C1B"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无</w:t>
            </w:r>
            <w:r w:rsidRPr="003F53E8">
              <w:rPr>
                <w:rFonts w:ascii="Arial" w:eastAsia="宋体" w:hAnsi="Arial" w:cs="Arial"/>
                <w:sz w:val="24"/>
                <w:szCs w:val="24"/>
              </w:rPr>
              <w:sym w:font="Wingdings 2" w:char="F052"/>
            </w:r>
          </w:p>
        </w:tc>
      </w:tr>
      <w:tr w:rsidR="00CB42DE" w:rsidRPr="003F53E8" w14:paraId="4E1CC211" w14:textId="77777777" w:rsidTr="005625C5">
        <w:trPr>
          <w:trHeight w:val="460"/>
        </w:trPr>
        <w:tc>
          <w:tcPr>
            <w:tcW w:w="4258" w:type="dxa"/>
            <w:gridSpan w:val="5"/>
          </w:tcPr>
          <w:p w14:paraId="7E2B1DF9" w14:textId="77777777" w:rsidR="00CB42DE" w:rsidRPr="003F53E8" w:rsidRDefault="0008421B">
            <w:pPr>
              <w:pStyle w:val="TableParagraph"/>
              <w:spacing w:line="400" w:lineRule="exact"/>
              <w:ind w:left="425"/>
              <w:rPr>
                <w:rFonts w:ascii="Arial" w:eastAsia="宋体" w:hAnsi="Arial" w:cs="Arial"/>
                <w:sz w:val="21"/>
                <w:szCs w:val="21"/>
              </w:rPr>
            </w:pPr>
            <w:r w:rsidRPr="003F53E8">
              <w:rPr>
                <w:rFonts w:ascii="Arial" w:eastAsia="宋体" w:hAnsi="Arial" w:cs="Arial"/>
                <w:sz w:val="21"/>
                <w:szCs w:val="21"/>
              </w:rPr>
              <w:t>是否为第一大股东或实际控制人</w:t>
            </w:r>
          </w:p>
        </w:tc>
        <w:tc>
          <w:tcPr>
            <w:tcW w:w="4819" w:type="dxa"/>
            <w:gridSpan w:val="3"/>
            <w:vAlign w:val="center"/>
          </w:tcPr>
          <w:p w14:paraId="46CFAB5D" w14:textId="49B90F06" w:rsidR="00CB42DE" w:rsidRPr="003F53E8" w:rsidRDefault="0008421B">
            <w:pPr>
              <w:pStyle w:val="TableParagraph"/>
              <w:tabs>
                <w:tab w:val="left" w:pos="730"/>
              </w:tabs>
              <w:ind w:left="11" w:firstLineChars="850" w:firstLine="1785"/>
              <w:rPr>
                <w:rFonts w:ascii="Arial" w:eastAsia="宋体" w:hAnsi="Arial" w:cs="Arial"/>
                <w:sz w:val="21"/>
                <w:szCs w:val="21"/>
              </w:rPr>
            </w:pPr>
            <w:r w:rsidRPr="003F53E8">
              <w:rPr>
                <w:rFonts w:ascii="Arial" w:eastAsia="宋体" w:hAnsi="Arial" w:cs="Arial"/>
                <w:sz w:val="21"/>
                <w:szCs w:val="21"/>
              </w:rPr>
              <w:t>是</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r w:rsidRPr="003F53E8">
              <w:rPr>
                <w:rFonts w:ascii="Arial" w:eastAsia="宋体" w:hAnsi="Arial" w:cs="Arial"/>
                <w:sz w:val="21"/>
                <w:szCs w:val="21"/>
              </w:rPr>
              <w:tab/>
            </w:r>
            <w:r w:rsidRPr="003F53E8">
              <w:rPr>
                <w:rFonts w:ascii="Arial" w:eastAsia="宋体" w:hAnsi="Arial" w:cs="Arial"/>
                <w:sz w:val="21"/>
                <w:szCs w:val="21"/>
              </w:rPr>
              <w:t>否</w:t>
            </w:r>
            <w:r w:rsidR="00705C1B" w:rsidRPr="00705C1B">
              <w:rPr>
                <w:rFonts w:ascii="宋体" w:eastAsia="宋体" w:hAnsi="宋体" w:cs="Arial"/>
                <w:sz w:val="21"/>
                <w:szCs w:val="21"/>
              </w:rPr>
              <w:t>□</w:t>
            </w:r>
          </w:p>
        </w:tc>
      </w:tr>
      <w:tr w:rsidR="00CB42DE" w:rsidRPr="003F53E8" w14:paraId="4893338A" w14:textId="77777777" w:rsidTr="005625C5">
        <w:trPr>
          <w:trHeight w:val="457"/>
        </w:trPr>
        <w:tc>
          <w:tcPr>
            <w:tcW w:w="9077" w:type="dxa"/>
            <w:gridSpan w:val="8"/>
          </w:tcPr>
          <w:p w14:paraId="39DC232E" w14:textId="3FBB3E2F"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2.</w:t>
            </w:r>
            <w:r w:rsidR="00B76AEC" w:rsidRPr="003F53E8">
              <w:rPr>
                <w:rFonts w:ascii="Arial" w:eastAsia="宋体" w:hAnsi="Arial" w:cs="Arial"/>
                <w:b/>
                <w:sz w:val="21"/>
                <w:szCs w:val="21"/>
              </w:rPr>
              <w:t xml:space="preserve"> </w:t>
            </w:r>
            <w:r w:rsidRPr="003F53E8">
              <w:rPr>
                <w:rFonts w:ascii="Arial" w:eastAsia="宋体" w:hAnsi="Arial" w:cs="Arial"/>
                <w:b/>
                <w:sz w:val="21"/>
                <w:szCs w:val="21"/>
              </w:rPr>
              <w:t>本次权益变动情况</w:t>
            </w:r>
          </w:p>
        </w:tc>
      </w:tr>
      <w:tr w:rsidR="00CB42DE" w:rsidRPr="003F53E8" w14:paraId="553B1F80" w14:textId="77777777" w:rsidTr="005625C5">
        <w:trPr>
          <w:trHeight w:val="457"/>
        </w:trPr>
        <w:tc>
          <w:tcPr>
            <w:tcW w:w="2699" w:type="dxa"/>
            <w:gridSpan w:val="4"/>
            <w:vAlign w:val="center"/>
          </w:tcPr>
          <w:p w14:paraId="44EB8B23" w14:textId="77777777" w:rsidR="00CB42DE" w:rsidRPr="003F53E8" w:rsidRDefault="0008421B">
            <w:pPr>
              <w:pStyle w:val="TableParagraph"/>
              <w:ind w:left="107"/>
              <w:rPr>
                <w:rFonts w:ascii="Arial" w:eastAsia="宋体" w:hAnsi="Arial" w:cs="Arial"/>
                <w:sz w:val="21"/>
                <w:szCs w:val="21"/>
              </w:rPr>
            </w:pPr>
            <w:r w:rsidRPr="003F53E8">
              <w:rPr>
                <w:rFonts w:ascii="Arial" w:eastAsia="宋体" w:hAnsi="Arial" w:cs="Arial"/>
                <w:sz w:val="21"/>
                <w:szCs w:val="21"/>
              </w:rPr>
              <w:t>股份种类（</w:t>
            </w:r>
            <w:r w:rsidRPr="003F53E8">
              <w:rPr>
                <w:rFonts w:ascii="Times New Roman" w:eastAsia="宋体" w:hAnsi="Times New Roman" w:cs="Times New Roman"/>
                <w:sz w:val="21"/>
                <w:szCs w:val="21"/>
              </w:rPr>
              <w:t>A</w:t>
            </w:r>
            <w:r w:rsidRPr="003F53E8">
              <w:rPr>
                <w:rFonts w:ascii="Arial" w:eastAsia="宋体" w:hAnsi="Arial" w:cs="Arial"/>
                <w:sz w:val="21"/>
                <w:szCs w:val="21"/>
              </w:rPr>
              <w:t>股、</w:t>
            </w:r>
            <w:r w:rsidRPr="003F53E8">
              <w:rPr>
                <w:rFonts w:ascii="Times New Roman" w:eastAsia="宋体" w:hAnsi="Times New Roman" w:cs="Times New Roman"/>
                <w:sz w:val="21"/>
                <w:szCs w:val="21"/>
              </w:rPr>
              <w:t>B</w:t>
            </w:r>
            <w:r w:rsidRPr="003F53E8">
              <w:rPr>
                <w:rFonts w:ascii="Arial" w:eastAsia="宋体" w:hAnsi="Arial" w:cs="Arial"/>
                <w:sz w:val="21"/>
                <w:szCs w:val="21"/>
              </w:rPr>
              <w:t>股等）</w:t>
            </w:r>
          </w:p>
        </w:tc>
        <w:tc>
          <w:tcPr>
            <w:tcW w:w="3402" w:type="dxa"/>
            <w:gridSpan w:val="2"/>
            <w:vAlign w:val="center"/>
          </w:tcPr>
          <w:p w14:paraId="1C9A12A0" w14:textId="66F898EB" w:rsidR="00CB42DE" w:rsidRPr="003F53E8" w:rsidRDefault="0008421B" w:rsidP="005625C5">
            <w:pPr>
              <w:pStyle w:val="TableParagraph"/>
              <w:ind w:left="515"/>
              <w:rPr>
                <w:rFonts w:ascii="Arial" w:eastAsia="宋体" w:hAnsi="Arial" w:cs="Arial"/>
                <w:sz w:val="21"/>
                <w:szCs w:val="21"/>
              </w:rPr>
            </w:pPr>
            <w:r w:rsidRPr="003F53E8">
              <w:rPr>
                <w:rFonts w:ascii="Arial" w:eastAsia="宋体" w:hAnsi="Arial" w:cs="Arial"/>
                <w:sz w:val="21"/>
                <w:szCs w:val="21"/>
              </w:rPr>
              <w:t>增持股数（万股）</w:t>
            </w:r>
          </w:p>
        </w:tc>
        <w:tc>
          <w:tcPr>
            <w:tcW w:w="2976" w:type="dxa"/>
            <w:gridSpan w:val="2"/>
            <w:vAlign w:val="center"/>
          </w:tcPr>
          <w:p w14:paraId="03DB4BBD" w14:textId="3CF33CEF" w:rsidR="00CB42DE" w:rsidRPr="003F53E8" w:rsidRDefault="0008421B" w:rsidP="005625C5">
            <w:pPr>
              <w:pStyle w:val="TableParagraph"/>
              <w:ind w:left="446"/>
              <w:rPr>
                <w:rFonts w:ascii="Arial" w:eastAsia="宋体" w:hAnsi="Arial" w:cs="Arial"/>
                <w:sz w:val="21"/>
                <w:szCs w:val="21"/>
              </w:rPr>
            </w:pPr>
            <w:r w:rsidRPr="003F53E8">
              <w:rPr>
                <w:rFonts w:ascii="Arial" w:eastAsia="宋体" w:hAnsi="Arial" w:cs="Arial"/>
                <w:sz w:val="21"/>
                <w:szCs w:val="21"/>
              </w:rPr>
              <w:t>增持比例（</w:t>
            </w:r>
            <w:r w:rsidRPr="003F53E8">
              <w:rPr>
                <w:rFonts w:ascii="Arial" w:eastAsia="宋体" w:hAnsi="Arial" w:cs="Arial"/>
                <w:sz w:val="21"/>
                <w:szCs w:val="21"/>
              </w:rPr>
              <w:t>%</w:t>
            </w:r>
            <w:r w:rsidRPr="003F53E8">
              <w:rPr>
                <w:rFonts w:ascii="Arial" w:eastAsia="宋体" w:hAnsi="Arial" w:cs="Arial"/>
                <w:sz w:val="21"/>
                <w:szCs w:val="21"/>
              </w:rPr>
              <w:t>）</w:t>
            </w:r>
          </w:p>
        </w:tc>
      </w:tr>
      <w:tr w:rsidR="00CB42DE" w:rsidRPr="003F53E8" w14:paraId="42D66652" w14:textId="77777777" w:rsidTr="005625C5">
        <w:trPr>
          <w:trHeight w:val="472"/>
        </w:trPr>
        <w:tc>
          <w:tcPr>
            <w:tcW w:w="2699" w:type="dxa"/>
            <w:gridSpan w:val="4"/>
            <w:vAlign w:val="center"/>
          </w:tcPr>
          <w:p w14:paraId="45399CD6" w14:textId="77777777" w:rsidR="00CB42DE" w:rsidRPr="003F53E8" w:rsidRDefault="0008421B">
            <w:pPr>
              <w:pStyle w:val="TableParagraph"/>
              <w:jc w:val="center"/>
              <w:rPr>
                <w:rFonts w:ascii="Arial" w:eastAsia="宋体" w:hAnsi="Arial" w:cs="Arial"/>
                <w:sz w:val="21"/>
                <w:szCs w:val="21"/>
              </w:rPr>
            </w:pPr>
            <w:r w:rsidRPr="003F53E8">
              <w:rPr>
                <w:rFonts w:ascii="Times New Roman" w:eastAsia="宋体" w:hAnsi="Times New Roman" w:cs="Times New Roman"/>
                <w:sz w:val="21"/>
                <w:szCs w:val="21"/>
              </w:rPr>
              <w:t>A</w:t>
            </w:r>
            <w:r w:rsidRPr="003F53E8">
              <w:rPr>
                <w:rFonts w:ascii="Arial" w:eastAsia="宋体" w:hAnsi="Arial" w:cs="Arial"/>
                <w:sz w:val="21"/>
                <w:szCs w:val="21"/>
              </w:rPr>
              <w:t>股</w:t>
            </w:r>
          </w:p>
        </w:tc>
        <w:tc>
          <w:tcPr>
            <w:tcW w:w="3402" w:type="dxa"/>
            <w:gridSpan w:val="2"/>
            <w:vAlign w:val="center"/>
          </w:tcPr>
          <w:p w14:paraId="36758282" w14:textId="77777777" w:rsidR="00CB42DE" w:rsidRPr="003F53E8" w:rsidRDefault="0008421B">
            <w:pPr>
              <w:pStyle w:val="TableParagraph"/>
              <w:jc w:val="center"/>
              <w:rPr>
                <w:rFonts w:ascii="Arial" w:eastAsia="宋体" w:hAnsi="Arial" w:cs="Arial"/>
                <w:sz w:val="21"/>
                <w:szCs w:val="21"/>
              </w:rPr>
            </w:pPr>
            <w:r w:rsidRPr="003F53E8">
              <w:rPr>
                <w:rFonts w:ascii="Arial" w:hAnsi="Arial" w:cs="Arial"/>
                <w:sz w:val="21"/>
                <w:szCs w:val="21"/>
                <w:shd w:val="clear" w:color="auto" w:fill="FFFFFF"/>
              </w:rPr>
              <w:t>91.71</w:t>
            </w:r>
          </w:p>
        </w:tc>
        <w:tc>
          <w:tcPr>
            <w:tcW w:w="2976" w:type="dxa"/>
            <w:gridSpan w:val="2"/>
            <w:vAlign w:val="center"/>
          </w:tcPr>
          <w:p w14:paraId="3C512556"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0.37%</w:t>
            </w:r>
          </w:p>
        </w:tc>
      </w:tr>
      <w:tr w:rsidR="00CB42DE" w:rsidRPr="003F53E8" w14:paraId="6F5326E3" w14:textId="77777777" w:rsidTr="005625C5">
        <w:trPr>
          <w:trHeight w:val="472"/>
        </w:trPr>
        <w:tc>
          <w:tcPr>
            <w:tcW w:w="2699" w:type="dxa"/>
            <w:gridSpan w:val="4"/>
            <w:vAlign w:val="center"/>
          </w:tcPr>
          <w:p w14:paraId="17BB999B" w14:textId="77777777" w:rsidR="00CB42DE" w:rsidRPr="003F53E8" w:rsidRDefault="0008421B">
            <w:pPr>
              <w:pStyle w:val="TableParagraph"/>
              <w:ind w:left="1094" w:right="1083"/>
              <w:jc w:val="center"/>
              <w:rPr>
                <w:rFonts w:ascii="Arial" w:eastAsia="宋体" w:hAnsi="Arial" w:cs="Arial"/>
                <w:b/>
                <w:sz w:val="21"/>
                <w:szCs w:val="21"/>
              </w:rPr>
            </w:pPr>
            <w:r w:rsidRPr="003F53E8">
              <w:rPr>
                <w:rFonts w:ascii="Arial" w:eastAsia="宋体" w:hAnsi="Arial" w:cs="Arial"/>
                <w:b/>
                <w:sz w:val="21"/>
                <w:szCs w:val="21"/>
              </w:rPr>
              <w:t>合计</w:t>
            </w:r>
          </w:p>
        </w:tc>
        <w:tc>
          <w:tcPr>
            <w:tcW w:w="3402" w:type="dxa"/>
            <w:gridSpan w:val="2"/>
            <w:vAlign w:val="center"/>
          </w:tcPr>
          <w:p w14:paraId="1132E05B" w14:textId="77777777" w:rsidR="00CB42DE" w:rsidRPr="003F53E8" w:rsidRDefault="0008421B">
            <w:pPr>
              <w:pStyle w:val="TableParagraph"/>
              <w:jc w:val="center"/>
              <w:rPr>
                <w:rFonts w:ascii="Arial" w:eastAsia="宋体" w:hAnsi="Arial" w:cs="Arial"/>
                <w:sz w:val="21"/>
                <w:szCs w:val="21"/>
              </w:rPr>
            </w:pPr>
            <w:r w:rsidRPr="003F53E8">
              <w:rPr>
                <w:rFonts w:ascii="Arial" w:hAnsi="Arial" w:cs="Arial"/>
                <w:sz w:val="21"/>
                <w:szCs w:val="21"/>
                <w:shd w:val="clear" w:color="auto" w:fill="FFFFFF"/>
              </w:rPr>
              <w:t>91.71</w:t>
            </w:r>
          </w:p>
        </w:tc>
        <w:tc>
          <w:tcPr>
            <w:tcW w:w="2976" w:type="dxa"/>
            <w:gridSpan w:val="2"/>
            <w:vAlign w:val="center"/>
          </w:tcPr>
          <w:p w14:paraId="1F247AC5" w14:textId="77777777" w:rsidR="00CB42DE" w:rsidRPr="003F53E8" w:rsidRDefault="0008421B">
            <w:pPr>
              <w:pStyle w:val="TableParagraph"/>
              <w:jc w:val="center"/>
              <w:rPr>
                <w:rFonts w:ascii="Arial" w:eastAsia="宋体" w:hAnsi="Arial" w:cs="Arial"/>
                <w:sz w:val="21"/>
                <w:szCs w:val="21"/>
              </w:rPr>
            </w:pPr>
            <w:r w:rsidRPr="003F53E8">
              <w:rPr>
                <w:rFonts w:ascii="Arial" w:eastAsia="宋体" w:hAnsi="Arial" w:cs="Arial"/>
                <w:sz w:val="21"/>
                <w:szCs w:val="21"/>
              </w:rPr>
              <w:t>0.37%</w:t>
            </w:r>
          </w:p>
        </w:tc>
      </w:tr>
      <w:tr w:rsidR="00CB42DE" w:rsidRPr="003F53E8" w14:paraId="6CB4B96C" w14:textId="77777777" w:rsidTr="005625C5">
        <w:trPr>
          <w:trHeight w:val="1213"/>
        </w:trPr>
        <w:tc>
          <w:tcPr>
            <w:tcW w:w="2699" w:type="dxa"/>
            <w:gridSpan w:val="4"/>
            <w:vAlign w:val="center"/>
          </w:tcPr>
          <w:p w14:paraId="2A6D3E79" w14:textId="77777777" w:rsidR="00CB42DE" w:rsidRPr="003F53E8" w:rsidRDefault="0008421B">
            <w:pPr>
              <w:pStyle w:val="TableParagraph"/>
              <w:spacing w:line="400" w:lineRule="exact"/>
              <w:ind w:left="107" w:right="179"/>
              <w:jc w:val="center"/>
              <w:rPr>
                <w:rFonts w:ascii="Arial" w:eastAsia="宋体" w:hAnsi="Arial" w:cs="Arial"/>
                <w:sz w:val="21"/>
                <w:szCs w:val="21"/>
              </w:rPr>
            </w:pPr>
            <w:r w:rsidRPr="003F53E8">
              <w:rPr>
                <w:rFonts w:ascii="Arial" w:eastAsia="宋体" w:hAnsi="Arial" w:cs="Arial"/>
                <w:sz w:val="21"/>
                <w:szCs w:val="21"/>
              </w:rPr>
              <w:t>本次权益变动方式</w:t>
            </w:r>
          </w:p>
          <w:p w14:paraId="3C9E46A8" w14:textId="77777777" w:rsidR="00CB42DE" w:rsidRPr="003F53E8" w:rsidRDefault="0008421B">
            <w:pPr>
              <w:pStyle w:val="TableParagraph"/>
              <w:spacing w:line="400" w:lineRule="exact"/>
              <w:ind w:left="107" w:right="179"/>
              <w:jc w:val="center"/>
              <w:rPr>
                <w:rFonts w:ascii="Arial" w:eastAsia="宋体" w:hAnsi="Arial" w:cs="Arial"/>
                <w:sz w:val="21"/>
                <w:szCs w:val="21"/>
              </w:rPr>
            </w:pPr>
            <w:r w:rsidRPr="003F53E8">
              <w:rPr>
                <w:rFonts w:ascii="Arial" w:eastAsia="宋体" w:hAnsi="Arial" w:cs="Arial"/>
                <w:sz w:val="21"/>
                <w:szCs w:val="21"/>
              </w:rPr>
              <w:t>（可多选）</w:t>
            </w:r>
          </w:p>
        </w:tc>
        <w:tc>
          <w:tcPr>
            <w:tcW w:w="6378" w:type="dxa"/>
            <w:gridSpan w:val="4"/>
            <w:vAlign w:val="center"/>
          </w:tcPr>
          <w:p w14:paraId="00FFF97A" w14:textId="7777777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通过证券交易所的集中交易</w:t>
            </w:r>
            <w:r w:rsidRPr="003F53E8">
              <w:rPr>
                <w:rFonts w:ascii="Arial" w:eastAsia="宋体" w:hAnsi="Arial" w:cs="Arial"/>
                <w:sz w:val="21"/>
                <w:szCs w:val="21"/>
              </w:rPr>
              <w:t xml:space="preserve"> </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p>
          <w:p w14:paraId="3F1AA3F4" w14:textId="338BC46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通过证券交易所的大宗交易</w:t>
            </w:r>
            <w:r w:rsidRPr="003F53E8">
              <w:rPr>
                <w:rFonts w:ascii="Arial" w:eastAsia="宋体" w:hAnsi="Arial" w:cs="Arial"/>
                <w:sz w:val="21"/>
                <w:szCs w:val="21"/>
              </w:rPr>
              <w:t xml:space="preserve"> </w:t>
            </w:r>
            <w:r w:rsidR="005625C5" w:rsidRPr="00705C1B">
              <w:rPr>
                <w:rFonts w:ascii="宋体" w:eastAsia="宋体" w:hAnsi="宋体" w:cs="Arial"/>
                <w:sz w:val="21"/>
                <w:szCs w:val="21"/>
              </w:rPr>
              <w:t>□</w:t>
            </w:r>
            <w:r w:rsidRPr="003F53E8">
              <w:rPr>
                <w:rFonts w:ascii="Arial" w:eastAsia="宋体" w:hAnsi="Arial" w:cs="Arial"/>
                <w:sz w:val="21"/>
                <w:szCs w:val="21"/>
              </w:rPr>
              <w:t xml:space="preserve">   </w:t>
            </w:r>
          </w:p>
          <w:p w14:paraId="029BFBF5" w14:textId="77777777" w:rsidR="00CB42DE" w:rsidRPr="003F53E8" w:rsidRDefault="0008421B">
            <w:pPr>
              <w:pStyle w:val="TableParagraph"/>
              <w:tabs>
                <w:tab w:val="left" w:pos="3465"/>
              </w:tabs>
              <w:spacing w:line="360" w:lineRule="exact"/>
              <w:ind w:left="346" w:right="485"/>
              <w:jc w:val="both"/>
              <w:rPr>
                <w:rFonts w:ascii="Arial" w:eastAsia="宋体" w:hAnsi="Arial" w:cs="Arial"/>
                <w:sz w:val="21"/>
                <w:szCs w:val="21"/>
              </w:rPr>
            </w:pPr>
            <w:r w:rsidRPr="003F53E8">
              <w:rPr>
                <w:rFonts w:ascii="Arial" w:eastAsia="宋体" w:hAnsi="Arial" w:cs="Arial"/>
                <w:sz w:val="21"/>
                <w:szCs w:val="21"/>
              </w:rPr>
              <w:t>其他</w:t>
            </w:r>
            <w:r w:rsidRPr="003F53E8">
              <w:rPr>
                <w:rFonts w:ascii="Arial" w:eastAsia="宋体" w:hAnsi="Arial" w:cs="Arial"/>
                <w:sz w:val="21"/>
                <w:szCs w:val="21"/>
              </w:rPr>
              <w:t xml:space="preserve">                     </w:t>
            </w:r>
            <w:r w:rsidRPr="00705C1B">
              <w:rPr>
                <w:rFonts w:ascii="宋体" w:eastAsia="宋体" w:hAnsi="宋体" w:cs="Arial"/>
                <w:sz w:val="21"/>
                <w:szCs w:val="21"/>
              </w:rPr>
              <w:t>□</w:t>
            </w:r>
          </w:p>
        </w:tc>
      </w:tr>
      <w:tr w:rsidR="00CB42DE" w:rsidRPr="003F53E8" w14:paraId="36CEC017" w14:textId="77777777" w:rsidTr="005625C5">
        <w:trPr>
          <w:trHeight w:val="1248"/>
        </w:trPr>
        <w:tc>
          <w:tcPr>
            <w:tcW w:w="2699" w:type="dxa"/>
            <w:gridSpan w:val="4"/>
            <w:vAlign w:val="center"/>
          </w:tcPr>
          <w:p w14:paraId="7120CF32" w14:textId="77777777" w:rsidR="00CB42DE" w:rsidRPr="003F53E8" w:rsidRDefault="0008421B">
            <w:pPr>
              <w:pStyle w:val="TableParagraph"/>
              <w:spacing w:line="400" w:lineRule="exact"/>
              <w:ind w:left="107"/>
              <w:jc w:val="center"/>
              <w:rPr>
                <w:rFonts w:ascii="Arial" w:eastAsia="宋体" w:hAnsi="Arial" w:cs="Arial"/>
                <w:sz w:val="21"/>
                <w:szCs w:val="21"/>
              </w:rPr>
            </w:pPr>
            <w:r w:rsidRPr="003F53E8">
              <w:rPr>
                <w:rFonts w:ascii="Arial" w:eastAsia="宋体" w:hAnsi="Arial" w:cs="Arial"/>
                <w:sz w:val="21"/>
                <w:szCs w:val="21"/>
              </w:rPr>
              <w:t>本次增持股份的资金来源</w:t>
            </w:r>
          </w:p>
          <w:p w14:paraId="0B98F5E0" w14:textId="77777777" w:rsidR="00CB42DE" w:rsidRPr="003F53E8" w:rsidRDefault="0008421B">
            <w:pPr>
              <w:pStyle w:val="TableParagraph"/>
              <w:spacing w:line="400" w:lineRule="exact"/>
              <w:ind w:left="107"/>
              <w:jc w:val="center"/>
              <w:rPr>
                <w:rFonts w:ascii="Arial" w:eastAsia="宋体" w:hAnsi="Arial" w:cs="Arial"/>
                <w:sz w:val="21"/>
                <w:szCs w:val="21"/>
              </w:rPr>
            </w:pPr>
            <w:r w:rsidRPr="003F53E8">
              <w:rPr>
                <w:rFonts w:ascii="Arial" w:eastAsia="宋体" w:hAnsi="Arial" w:cs="Arial"/>
                <w:sz w:val="21"/>
                <w:szCs w:val="21"/>
              </w:rPr>
              <w:t>（可多选）</w:t>
            </w:r>
          </w:p>
        </w:tc>
        <w:tc>
          <w:tcPr>
            <w:tcW w:w="6378" w:type="dxa"/>
            <w:gridSpan w:val="4"/>
          </w:tcPr>
          <w:p w14:paraId="1A9AAC13" w14:textId="77777777" w:rsidR="00CB42DE" w:rsidRPr="003F53E8" w:rsidRDefault="0008421B">
            <w:pPr>
              <w:pStyle w:val="TableParagraph"/>
              <w:tabs>
                <w:tab w:val="left" w:pos="2506"/>
                <w:tab w:val="left" w:pos="3827"/>
                <w:tab w:val="left" w:pos="5190"/>
              </w:tabs>
              <w:spacing w:line="360" w:lineRule="exact"/>
              <w:ind w:left="346"/>
              <w:rPr>
                <w:rFonts w:ascii="Arial" w:eastAsia="宋体" w:hAnsi="Arial" w:cs="Arial"/>
                <w:sz w:val="21"/>
                <w:szCs w:val="21"/>
              </w:rPr>
            </w:pPr>
            <w:r w:rsidRPr="003F53E8">
              <w:rPr>
                <w:rFonts w:ascii="Arial" w:eastAsia="宋体" w:hAnsi="Arial" w:cs="Arial"/>
                <w:sz w:val="21"/>
                <w:szCs w:val="21"/>
              </w:rPr>
              <w:t>自有资金</w:t>
            </w:r>
            <w:r w:rsidRPr="003F53E8">
              <w:rPr>
                <w:rFonts w:ascii="Arial" w:eastAsia="宋体" w:hAnsi="Arial" w:cs="Arial"/>
                <w:sz w:val="21"/>
                <w:szCs w:val="21"/>
              </w:rPr>
              <w:tab/>
            </w:r>
            <w:r w:rsidRPr="003F53E8">
              <w:rPr>
                <w:rFonts w:ascii="Arial" w:eastAsia="宋体" w:hAnsi="Arial" w:cs="Arial"/>
                <w:sz w:val="24"/>
                <w:szCs w:val="24"/>
              </w:rPr>
              <w:sym w:font="Wingdings 2" w:char="F052"/>
            </w:r>
            <w:r w:rsidRPr="003F53E8">
              <w:rPr>
                <w:rFonts w:ascii="Arial" w:eastAsia="宋体" w:hAnsi="Arial" w:cs="Arial"/>
                <w:sz w:val="21"/>
                <w:szCs w:val="21"/>
              </w:rPr>
              <w:tab/>
            </w:r>
            <w:r w:rsidRPr="003F53E8">
              <w:rPr>
                <w:rFonts w:ascii="Arial" w:eastAsia="宋体" w:hAnsi="Arial" w:cs="Arial"/>
                <w:sz w:val="21"/>
                <w:szCs w:val="21"/>
              </w:rPr>
              <w:t>银行贷款</w:t>
            </w:r>
            <w:r w:rsidRPr="003F53E8">
              <w:rPr>
                <w:rFonts w:ascii="Arial" w:eastAsia="宋体" w:hAnsi="Arial" w:cs="Arial"/>
                <w:sz w:val="21"/>
                <w:szCs w:val="21"/>
              </w:rPr>
              <w:tab/>
            </w:r>
            <w:r w:rsidRPr="003F53E8">
              <w:rPr>
                <w:rFonts w:ascii="Arial" w:eastAsia="宋体" w:hAnsi="Arial" w:cs="Arial"/>
                <w:sz w:val="24"/>
                <w:szCs w:val="24"/>
              </w:rPr>
              <w:sym w:font="Wingdings 2" w:char="F052"/>
            </w:r>
          </w:p>
          <w:p w14:paraId="2CE902A9" w14:textId="77777777" w:rsidR="00CB42DE" w:rsidRPr="003F53E8" w:rsidRDefault="0008421B">
            <w:pPr>
              <w:pStyle w:val="TableParagraph"/>
              <w:tabs>
                <w:tab w:val="left" w:pos="2506"/>
                <w:tab w:val="left" w:pos="3827"/>
                <w:tab w:val="left" w:pos="5190"/>
              </w:tabs>
              <w:spacing w:line="360" w:lineRule="exact"/>
              <w:ind w:left="346" w:right="853"/>
              <w:rPr>
                <w:rFonts w:ascii="Arial" w:eastAsia="宋体" w:hAnsi="Arial" w:cs="Arial"/>
                <w:sz w:val="21"/>
                <w:szCs w:val="21"/>
              </w:rPr>
            </w:pPr>
            <w:r w:rsidRPr="003F53E8">
              <w:rPr>
                <w:rFonts w:ascii="Arial" w:eastAsia="宋体" w:hAnsi="Arial" w:cs="Arial"/>
                <w:sz w:val="21"/>
                <w:szCs w:val="21"/>
              </w:rPr>
              <w:t>其他金融机构借款</w:t>
            </w:r>
            <w:r w:rsidRPr="003F53E8">
              <w:rPr>
                <w:rFonts w:ascii="Arial" w:eastAsia="宋体" w:hAnsi="Arial" w:cs="Arial"/>
                <w:sz w:val="21"/>
                <w:szCs w:val="21"/>
              </w:rPr>
              <w:tab/>
            </w:r>
            <w:r w:rsidRPr="00705C1B">
              <w:rPr>
                <w:rFonts w:ascii="宋体" w:eastAsia="宋体" w:hAnsi="宋体" w:cs="Arial"/>
                <w:sz w:val="21"/>
                <w:szCs w:val="21"/>
              </w:rPr>
              <w:t>□</w:t>
            </w:r>
            <w:r w:rsidRPr="003F53E8">
              <w:rPr>
                <w:rFonts w:ascii="Arial" w:eastAsia="宋体" w:hAnsi="Arial" w:cs="Arial"/>
                <w:sz w:val="21"/>
                <w:szCs w:val="21"/>
              </w:rPr>
              <w:tab/>
            </w:r>
            <w:r w:rsidRPr="003F53E8">
              <w:rPr>
                <w:rFonts w:ascii="Arial" w:eastAsia="宋体" w:hAnsi="Arial" w:cs="Arial"/>
                <w:sz w:val="21"/>
                <w:szCs w:val="21"/>
              </w:rPr>
              <w:t>股东投资款</w:t>
            </w:r>
            <w:r w:rsidRPr="003F53E8">
              <w:rPr>
                <w:rFonts w:ascii="Arial" w:eastAsia="宋体" w:hAnsi="Arial" w:cs="Arial"/>
                <w:sz w:val="21"/>
                <w:szCs w:val="21"/>
              </w:rPr>
              <w:tab/>
            </w:r>
            <w:r w:rsidRPr="00705C1B">
              <w:rPr>
                <w:rFonts w:ascii="宋体" w:eastAsia="宋体" w:hAnsi="宋体" w:cs="Arial"/>
                <w:sz w:val="21"/>
                <w:szCs w:val="21"/>
              </w:rPr>
              <w:t>□</w:t>
            </w:r>
          </w:p>
          <w:p w14:paraId="3A93BA34" w14:textId="77777777" w:rsidR="00CB42DE" w:rsidRPr="003F53E8" w:rsidRDefault="0008421B">
            <w:pPr>
              <w:pStyle w:val="TableParagraph"/>
              <w:tabs>
                <w:tab w:val="left" w:pos="2506"/>
                <w:tab w:val="left" w:pos="3827"/>
                <w:tab w:val="left" w:pos="5190"/>
              </w:tabs>
              <w:spacing w:line="360" w:lineRule="exact"/>
              <w:ind w:left="346" w:right="853"/>
              <w:rPr>
                <w:rFonts w:ascii="Arial" w:eastAsia="宋体" w:hAnsi="Arial" w:cs="Arial"/>
                <w:sz w:val="21"/>
                <w:szCs w:val="21"/>
              </w:rPr>
            </w:pPr>
            <w:r w:rsidRPr="003F53E8">
              <w:rPr>
                <w:rFonts w:ascii="Arial" w:eastAsia="宋体" w:hAnsi="Arial" w:cs="Arial"/>
                <w:sz w:val="21"/>
                <w:szCs w:val="21"/>
              </w:rPr>
              <w:t>其他</w:t>
            </w:r>
            <w:r w:rsidRPr="003F53E8">
              <w:rPr>
                <w:rFonts w:ascii="Arial" w:eastAsia="宋体" w:hAnsi="Arial" w:cs="Arial"/>
                <w:sz w:val="21"/>
                <w:szCs w:val="21"/>
              </w:rPr>
              <w:tab/>
            </w:r>
            <w:r w:rsidRPr="00705C1B">
              <w:rPr>
                <w:rFonts w:ascii="宋体" w:eastAsia="宋体" w:hAnsi="宋体" w:cs="Arial"/>
                <w:sz w:val="21"/>
                <w:szCs w:val="21"/>
              </w:rPr>
              <w:t>□</w:t>
            </w:r>
            <w:r w:rsidRPr="003F53E8">
              <w:rPr>
                <w:rFonts w:ascii="Arial" w:eastAsia="宋体" w:hAnsi="Arial" w:cs="Arial"/>
                <w:sz w:val="21"/>
                <w:szCs w:val="21"/>
              </w:rPr>
              <w:t>（请注明）</w:t>
            </w:r>
          </w:p>
          <w:p w14:paraId="40646DB8" w14:textId="77777777" w:rsidR="00CB42DE" w:rsidRPr="003F53E8" w:rsidRDefault="0008421B">
            <w:pPr>
              <w:pStyle w:val="TableParagraph"/>
              <w:tabs>
                <w:tab w:val="left" w:pos="2506"/>
              </w:tabs>
              <w:spacing w:line="360" w:lineRule="exact"/>
              <w:ind w:left="346"/>
              <w:rPr>
                <w:rFonts w:ascii="Arial" w:eastAsia="宋体" w:hAnsi="Arial" w:cs="Arial"/>
                <w:sz w:val="21"/>
                <w:szCs w:val="21"/>
              </w:rPr>
            </w:pPr>
            <w:r w:rsidRPr="003F53E8">
              <w:rPr>
                <w:rFonts w:ascii="Arial" w:eastAsia="宋体" w:hAnsi="Arial" w:cs="Arial"/>
                <w:sz w:val="21"/>
                <w:szCs w:val="21"/>
              </w:rPr>
              <w:t>不涉及资金来源</w:t>
            </w:r>
            <w:r w:rsidRPr="003F53E8">
              <w:rPr>
                <w:rFonts w:ascii="Arial" w:eastAsia="宋体" w:hAnsi="Arial" w:cs="Arial"/>
                <w:sz w:val="21"/>
                <w:szCs w:val="21"/>
              </w:rPr>
              <w:tab/>
            </w:r>
            <w:r w:rsidRPr="00705C1B">
              <w:rPr>
                <w:rFonts w:ascii="宋体" w:eastAsia="宋体" w:hAnsi="宋体" w:cs="Arial"/>
                <w:sz w:val="21"/>
                <w:szCs w:val="21"/>
              </w:rPr>
              <w:t>□</w:t>
            </w:r>
          </w:p>
        </w:tc>
      </w:tr>
      <w:tr w:rsidR="00CB42DE" w:rsidRPr="003F53E8" w14:paraId="43926D49" w14:textId="77777777" w:rsidTr="005625C5">
        <w:trPr>
          <w:trHeight w:val="472"/>
        </w:trPr>
        <w:tc>
          <w:tcPr>
            <w:tcW w:w="9077" w:type="dxa"/>
            <w:gridSpan w:val="8"/>
          </w:tcPr>
          <w:p w14:paraId="7D945667" w14:textId="6EB359CF"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3.</w:t>
            </w:r>
            <w:r w:rsidR="00B76AEC" w:rsidRPr="003F53E8">
              <w:rPr>
                <w:rFonts w:ascii="Arial" w:eastAsia="宋体" w:hAnsi="Arial" w:cs="Arial"/>
                <w:b/>
                <w:sz w:val="21"/>
                <w:szCs w:val="21"/>
              </w:rPr>
              <w:t xml:space="preserve"> </w:t>
            </w:r>
            <w:r w:rsidRPr="003F53E8">
              <w:rPr>
                <w:rFonts w:ascii="Arial" w:eastAsia="宋体" w:hAnsi="Arial" w:cs="Arial"/>
                <w:b/>
                <w:sz w:val="21"/>
                <w:szCs w:val="21"/>
              </w:rPr>
              <w:t>本次变动前后，投资者及其一致行动人拥有上市公司权益的股份情况</w:t>
            </w:r>
          </w:p>
        </w:tc>
      </w:tr>
      <w:tr w:rsidR="00CB42DE" w:rsidRPr="003F53E8" w14:paraId="7046D471" w14:textId="77777777" w:rsidTr="009A19B4">
        <w:trPr>
          <w:trHeight w:val="454"/>
        </w:trPr>
        <w:tc>
          <w:tcPr>
            <w:tcW w:w="2699" w:type="dxa"/>
            <w:gridSpan w:val="4"/>
            <w:vMerge w:val="restart"/>
            <w:vAlign w:val="center"/>
          </w:tcPr>
          <w:p w14:paraId="1FB370C6" w14:textId="77777777" w:rsidR="00CB42DE" w:rsidRPr="003F53E8" w:rsidRDefault="0008421B" w:rsidP="005625C5">
            <w:pPr>
              <w:pStyle w:val="TableParagraph"/>
              <w:jc w:val="center"/>
              <w:rPr>
                <w:rFonts w:ascii="Arial" w:eastAsia="宋体" w:hAnsi="Arial" w:cs="Arial"/>
                <w:sz w:val="21"/>
                <w:szCs w:val="21"/>
              </w:rPr>
            </w:pPr>
            <w:r w:rsidRPr="003F53E8">
              <w:rPr>
                <w:rFonts w:ascii="Arial" w:eastAsia="宋体" w:hAnsi="Arial" w:cs="Arial"/>
                <w:sz w:val="21"/>
                <w:szCs w:val="21"/>
              </w:rPr>
              <w:t>股份性质</w:t>
            </w:r>
          </w:p>
        </w:tc>
        <w:tc>
          <w:tcPr>
            <w:tcW w:w="3402" w:type="dxa"/>
            <w:gridSpan w:val="2"/>
            <w:vAlign w:val="center"/>
          </w:tcPr>
          <w:p w14:paraId="111B11C9" w14:textId="77777777" w:rsidR="00CB42DE" w:rsidRPr="003F53E8" w:rsidRDefault="0008421B" w:rsidP="005625C5">
            <w:pPr>
              <w:pStyle w:val="TableParagraph"/>
              <w:jc w:val="center"/>
              <w:rPr>
                <w:rFonts w:ascii="Arial" w:eastAsia="宋体" w:hAnsi="Arial" w:cs="Arial"/>
                <w:sz w:val="21"/>
                <w:szCs w:val="21"/>
              </w:rPr>
            </w:pPr>
            <w:r w:rsidRPr="003F53E8">
              <w:rPr>
                <w:rFonts w:ascii="Arial" w:eastAsia="宋体" w:hAnsi="Arial" w:cs="Arial"/>
                <w:sz w:val="21"/>
                <w:szCs w:val="21"/>
              </w:rPr>
              <w:t>本次变动前持有股份</w:t>
            </w:r>
          </w:p>
        </w:tc>
        <w:tc>
          <w:tcPr>
            <w:tcW w:w="2976" w:type="dxa"/>
            <w:gridSpan w:val="2"/>
            <w:vAlign w:val="center"/>
          </w:tcPr>
          <w:p w14:paraId="5E9E8069" w14:textId="77777777" w:rsidR="00CB42DE" w:rsidRPr="003F53E8" w:rsidRDefault="0008421B" w:rsidP="005625C5">
            <w:pPr>
              <w:pStyle w:val="TableParagraph"/>
              <w:ind w:left="6"/>
              <w:jc w:val="center"/>
              <w:rPr>
                <w:rFonts w:ascii="Arial" w:eastAsia="宋体" w:hAnsi="Arial" w:cs="Arial"/>
                <w:sz w:val="21"/>
                <w:szCs w:val="21"/>
              </w:rPr>
            </w:pPr>
            <w:r w:rsidRPr="003F53E8">
              <w:rPr>
                <w:rFonts w:ascii="Arial" w:eastAsia="宋体" w:hAnsi="Arial" w:cs="Arial"/>
                <w:sz w:val="21"/>
                <w:szCs w:val="21"/>
              </w:rPr>
              <w:t>本次变动后持有股份</w:t>
            </w:r>
          </w:p>
        </w:tc>
      </w:tr>
      <w:tr w:rsidR="005625C5" w:rsidRPr="003F53E8" w14:paraId="719201A1" w14:textId="77777777" w:rsidTr="005625C5">
        <w:trPr>
          <w:trHeight w:val="482"/>
        </w:trPr>
        <w:tc>
          <w:tcPr>
            <w:tcW w:w="2699" w:type="dxa"/>
            <w:gridSpan w:val="4"/>
            <w:vMerge/>
            <w:tcBorders>
              <w:top w:val="nil"/>
            </w:tcBorders>
            <w:vAlign w:val="center"/>
          </w:tcPr>
          <w:p w14:paraId="134B4323" w14:textId="77777777" w:rsidR="00CB42DE" w:rsidRPr="003F53E8" w:rsidRDefault="00CB42DE" w:rsidP="005625C5">
            <w:pPr>
              <w:rPr>
                <w:rFonts w:ascii="Arial" w:hAnsi="Arial" w:cs="Arial"/>
                <w:szCs w:val="21"/>
              </w:rPr>
            </w:pPr>
          </w:p>
        </w:tc>
        <w:tc>
          <w:tcPr>
            <w:tcW w:w="1559" w:type="dxa"/>
            <w:vAlign w:val="center"/>
          </w:tcPr>
          <w:p w14:paraId="1536C0DA" w14:textId="77777777" w:rsidR="005625C5" w:rsidRPr="003F53E8" w:rsidRDefault="0008421B" w:rsidP="005625C5">
            <w:pPr>
              <w:pStyle w:val="TableParagraph"/>
              <w:ind w:left="111"/>
              <w:jc w:val="center"/>
              <w:rPr>
                <w:rFonts w:ascii="Arial" w:eastAsia="宋体" w:hAnsi="Arial" w:cs="Arial"/>
                <w:sz w:val="21"/>
                <w:szCs w:val="21"/>
              </w:rPr>
            </w:pPr>
            <w:r w:rsidRPr="003F53E8">
              <w:rPr>
                <w:rFonts w:ascii="Arial" w:eastAsia="宋体" w:hAnsi="Arial" w:cs="Arial"/>
                <w:sz w:val="21"/>
                <w:szCs w:val="21"/>
              </w:rPr>
              <w:t>股数</w:t>
            </w:r>
          </w:p>
          <w:p w14:paraId="32FDBD18" w14:textId="792B8268" w:rsidR="00CB42DE" w:rsidRPr="003F53E8" w:rsidRDefault="0008421B" w:rsidP="005625C5">
            <w:pPr>
              <w:pStyle w:val="TableParagraph"/>
              <w:ind w:left="111"/>
              <w:jc w:val="center"/>
              <w:rPr>
                <w:rFonts w:ascii="Arial" w:eastAsia="宋体" w:hAnsi="Arial" w:cs="Arial"/>
                <w:sz w:val="21"/>
                <w:szCs w:val="21"/>
              </w:rPr>
            </w:pPr>
            <w:r w:rsidRPr="003F53E8">
              <w:rPr>
                <w:rFonts w:ascii="Arial" w:eastAsia="宋体" w:hAnsi="Arial" w:cs="Arial"/>
                <w:sz w:val="21"/>
                <w:szCs w:val="21"/>
              </w:rPr>
              <w:t>(</w:t>
            </w:r>
            <w:r w:rsidRPr="003F53E8">
              <w:rPr>
                <w:rFonts w:ascii="Arial" w:eastAsia="宋体" w:hAnsi="Arial" w:cs="Arial"/>
                <w:sz w:val="21"/>
                <w:szCs w:val="21"/>
              </w:rPr>
              <w:t>万股</w:t>
            </w:r>
            <w:r w:rsidRPr="003F53E8">
              <w:rPr>
                <w:rFonts w:ascii="Arial" w:eastAsia="宋体" w:hAnsi="Arial" w:cs="Arial"/>
                <w:sz w:val="21"/>
                <w:szCs w:val="21"/>
              </w:rPr>
              <w:t>)</w:t>
            </w:r>
          </w:p>
        </w:tc>
        <w:tc>
          <w:tcPr>
            <w:tcW w:w="1843" w:type="dxa"/>
            <w:vAlign w:val="center"/>
          </w:tcPr>
          <w:p w14:paraId="2B137F11" w14:textId="77777777" w:rsidR="005625C5" w:rsidRPr="003F53E8" w:rsidRDefault="0008421B" w:rsidP="005625C5">
            <w:pPr>
              <w:pStyle w:val="TableParagraph"/>
              <w:ind w:left="140" w:right="136"/>
              <w:jc w:val="center"/>
              <w:rPr>
                <w:rFonts w:ascii="Arial" w:eastAsia="宋体" w:hAnsi="Arial" w:cs="Arial"/>
                <w:sz w:val="21"/>
                <w:szCs w:val="21"/>
              </w:rPr>
            </w:pPr>
            <w:r w:rsidRPr="003F53E8">
              <w:rPr>
                <w:rFonts w:ascii="Arial" w:eastAsia="宋体" w:hAnsi="Arial" w:cs="Arial"/>
                <w:sz w:val="21"/>
                <w:szCs w:val="21"/>
              </w:rPr>
              <w:t>占总股本</w:t>
            </w:r>
          </w:p>
          <w:p w14:paraId="1CB3D753" w14:textId="4F125EEB" w:rsidR="00CB42DE" w:rsidRPr="003F53E8" w:rsidRDefault="0008421B" w:rsidP="005625C5">
            <w:pPr>
              <w:pStyle w:val="TableParagraph"/>
              <w:ind w:left="140" w:right="136"/>
              <w:jc w:val="center"/>
              <w:rPr>
                <w:rFonts w:ascii="Arial" w:eastAsia="宋体" w:hAnsi="Arial" w:cs="Arial"/>
                <w:sz w:val="21"/>
                <w:szCs w:val="21"/>
              </w:rPr>
            </w:pPr>
            <w:r w:rsidRPr="003F53E8">
              <w:rPr>
                <w:rFonts w:ascii="Arial" w:eastAsia="宋体" w:hAnsi="Arial" w:cs="Arial"/>
                <w:sz w:val="21"/>
                <w:szCs w:val="21"/>
              </w:rPr>
              <w:t>比例</w:t>
            </w:r>
            <w:r w:rsidRPr="003F53E8">
              <w:rPr>
                <w:rFonts w:ascii="Arial" w:eastAsia="宋体" w:hAnsi="Arial" w:cs="Arial"/>
                <w:sz w:val="21"/>
                <w:szCs w:val="21"/>
              </w:rPr>
              <w:t>(%)</w:t>
            </w:r>
          </w:p>
        </w:tc>
        <w:tc>
          <w:tcPr>
            <w:tcW w:w="1417" w:type="dxa"/>
            <w:vAlign w:val="center"/>
          </w:tcPr>
          <w:p w14:paraId="111B6EDC" w14:textId="77777777" w:rsidR="005625C5" w:rsidRPr="003F53E8" w:rsidRDefault="0008421B" w:rsidP="005625C5">
            <w:pPr>
              <w:pStyle w:val="TableParagraph"/>
              <w:ind w:left="116"/>
              <w:jc w:val="center"/>
              <w:rPr>
                <w:rFonts w:ascii="Arial" w:eastAsia="宋体" w:hAnsi="Arial" w:cs="Arial"/>
                <w:sz w:val="21"/>
                <w:szCs w:val="21"/>
              </w:rPr>
            </w:pPr>
            <w:r w:rsidRPr="003F53E8">
              <w:rPr>
                <w:rFonts w:ascii="Arial" w:eastAsia="宋体" w:hAnsi="Arial" w:cs="Arial"/>
                <w:sz w:val="21"/>
                <w:szCs w:val="21"/>
              </w:rPr>
              <w:t>股数</w:t>
            </w:r>
          </w:p>
          <w:p w14:paraId="4AF32C79" w14:textId="1A5D8747" w:rsidR="00CB42DE" w:rsidRPr="003F53E8" w:rsidRDefault="0008421B" w:rsidP="005625C5">
            <w:pPr>
              <w:pStyle w:val="TableParagraph"/>
              <w:ind w:left="116"/>
              <w:jc w:val="center"/>
              <w:rPr>
                <w:rFonts w:ascii="Arial" w:eastAsia="宋体" w:hAnsi="Arial" w:cs="Arial"/>
                <w:sz w:val="21"/>
                <w:szCs w:val="21"/>
              </w:rPr>
            </w:pPr>
            <w:r w:rsidRPr="003F53E8">
              <w:rPr>
                <w:rFonts w:ascii="Arial" w:eastAsia="宋体" w:hAnsi="Arial" w:cs="Arial"/>
                <w:sz w:val="21"/>
                <w:szCs w:val="21"/>
              </w:rPr>
              <w:t>(</w:t>
            </w:r>
            <w:r w:rsidRPr="003F53E8">
              <w:rPr>
                <w:rFonts w:ascii="Arial" w:eastAsia="宋体" w:hAnsi="Arial" w:cs="Arial"/>
                <w:sz w:val="21"/>
                <w:szCs w:val="21"/>
              </w:rPr>
              <w:t>万股</w:t>
            </w:r>
            <w:r w:rsidRPr="003F53E8">
              <w:rPr>
                <w:rFonts w:ascii="Arial" w:eastAsia="宋体" w:hAnsi="Arial" w:cs="Arial"/>
                <w:sz w:val="21"/>
                <w:szCs w:val="21"/>
              </w:rPr>
              <w:t>)</w:t>
            </w:r>
          </w:p>
        </w:tc>
        <w:tc>
          <w:tcPr>
            <w:tcW w:w="1559" w:type="dxa"/>
            <w:vAlign w:val="center"/>
          </w:tcPr>
          <w:p w14:paraId="694F9903" w14:textId="77777777" w:rsidR="005625C5" w:rsidRPr="003F53E8" w:rsidRDefault="0008421B" w:rsidP="005625C5">
            <w:pPr>
              <w:pStyle w:val="TableParagraph"/>
              <w:ind w:left="255" w:right="256"/>
              <w:jc w:val="center"/>
              <w:rPr>
                <w:rFonts w:ascii="Arial" w:eastAsia="宋体" w:hAnsi="Arial" w:cs="Arial"/>
                <w:sz w:val="21"/>
                <w:szCs w:val="21"/>
              </w:rPr>
            </w:pPr>
            <w:r w:rsidRPr="003F53E8">
              <w:rPr>
                <w:rFonts w:ascii="Arial" w:eastAsia="宋体" w:hAnsi="Arial" w:cs="Arial"/>
                <w:sz w:val="21"/>
                <w:szCs w:val="21"/>
              </w:rPr>
              <w:t>占总股本</w:t>
            </w:r>
          </w:p>
          <w:p w14:paraId="6758F156" w14:textId="4B53CF96" w:rsidR="00CB42DE" w:rsidRPr="003F53E8" w:rsidRDefault="0008421B" w:rsidP="005625C5">
            <w:pPr>
              <w:pStyle w:val="TableParagraph"/>
              <w:ind w:left="255" w:right="256"/>
              <w:jc w:val="center"/>
              <w:rPr>
                <w:rFonts w:ascii="Arial" w:eastAsia="宋体" w:hAnsi="Arial" w:cs="Arial"/>
                <w:sz w:val="21"/>
                <w:szCs w:val="21"/>
              </w:rPr>
            </w:pPr>
            <w:r w:rsidRPr="003F53E8">
              <w:rPr>
                <w:rFonts w:ascii="Arial" w:eastAsia="宋体" w:hAnsi="Arial" w:cs="Arial"/>
                <w:sz w:val="21"/>
                <w:szCs w:val="21"/>
              </w:rPr>
              <w:t>比例</w:t>
            </w:r>
            <w:r w:rsidRPr="003F53E8">
              <w:rPr>
                <w:rFonts w:ascii="Arial" w:eastAsia="宋体" w:hAnsi="Arial" w:cs="Arial"/>
                <w:sz w:val="21"/>
                <w:szCs w:val="21"/>
              </w:rPr>
              <w:t>(%)</w:t>
            </w:r>
          </w:p>
        </w:tc>
      </w:tr>
      <w:tr w:rsidR="005625C5" w:rsidRPr="003F53E8" w14:paraId="2D465E13" w14:textId="77777777" w:rsidTr="009A19B4">
        <w:trPr>
          <w:trHeight w:val="454"/>
        </w:trPr>
        <w:tc>
          <w:tcPr>
            <w:tcW w:w="2699" w:type="dxa"/>
            <w:gridSpan w:val="4"/>
            <w:vAlign w:val="center"/>
          </w:tcPr>
          <w:p w14:paraId="0FB9EE6D" w14:textId="77777777" w:rsidR="00CB42DE" w:rsidRPr="003F53E8" w:rsidRDefault="0008421B" w:rsidP="005625C5">
            <w:pPr>
              <w:pStyle w:val="TableParagraph"/>
              <w:ind w:left="746"/>
              <w:rPr>
                <w:rFonts w:ascii="Arial" w:eastAsia="宋体" w:hAnsi="Arial" w:cs="Arial"/>
                <w:sz w:val="21"/>
                <w:szCs w:val="21"/>
              </w:rPr>
            </w:pPr>
            <w:r w:rsidRPr="003F53E8">
              <w:rPr>
                <w:rFonts w:ascii="Arial" w:eastAsia="宋体" w:hAnsi="Arial" w:cs="Arial"/>
                <w:sz w:val="21"/>
                <w:szCs w:val="21"/>
              </w:rPr>
              <w:t>合计持有股份</w:t>
            </w:r>
          </w:p>
        </w:tc>
        <w:tc>
          <w:tcPr>
            <w:tcW w:w="1559" w:type="dxa"/>
            <w:vAlign w:val="center"/>
          </w:tcPr>
          <w:p w14:paraId="5E529823"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hAnsi="Arial" w:cs="Arial"/>
                <w:sz w:val="21"/>
                <w:szCs w:val="21"/>
                <w:shd w:val="clear" w:color="auto" w:fill="FFFFFF"/>
              </w:rPr>
              <w:t>11,775.09</w:t>
            </w:r>
          </w:p>
        </w:tc>
        <w:tc>
          <w:tcPr>
            <w:tcW w:w="1843" w:type="dxa"/>
            <w:vAlign w:val="center"/>
          </w:tcPr>
          <w:p w14:paraId="25E0938B"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47.71</w:t>
            </w:r>
          </w:p>
        </w:tc>
        <w:tc>
          <w:tcPr>
            <w:tcW w:w="1417" w:type="dxa"/>
            <w:vAlign w:val="center"/>
          </w:tcPr>
          <w:p w14:paraId="24747024" w14:textId="77777777" w:rsidR="00CB42DE" w:rsidRPr="003F53E8" w:rsidRDefault="0008421B" w:rsidP="005625C5">
            <w:pPr>
              <w:pStyle w:val="TableParagraph"/>
              <w:adjustRightInd w:val="0"/>
              <w:snapToGrid w:val="0"/>
              <w:jc w:val="center"/>
              <w:rPr>
                <w:rFonts w:ascii="Arial" w:hAnsi="Arial" w:cs="Arial"/>
                <w:sz w:val="21"/>
                <w:szCs w:val="21"/>
                <w:shd w:val="clear" w:color="auto" w:fill="FFFFFF"/>
              </w:rPr>
            </w:pPr>
            <w:r w:rsidRPr="003F53E8">
              <w:rPr>
                <w:rFonts w:ascii="Arial" w:hAnsi="Arial" w:cs="Arial"/>
                <w:sz w:val="21"/>
                <w:szCs w:val="21"/>
                <w:shd w:val="clear" w:color="auto" w:fill="FFFFFF"/>
              </w:rPr>
              <w:t>11,866.80</w:t>
            </w:r>
          </w:p>
        </w:tc>
        <w:tc>
          <w:tcPr>
            <w:tcW w:w="1559" w:type="dxa"/>
            <w:vAlign w:val="center"/>
          </w:tcPr>
          <w:p w14:paraId="1814E3F3" w14:textId="77777777" w:rsidR="00CB42DE" w:rsidRPr="003F53E8" w:rsidRDefault="0008421B" w:rsidP="005625C5">
            <w:pPr>
              <w:pStyle w:val="TableParagraph"/>
              <w:adjustRightInd w:val="0"/>
              <w:snapToGrid w:val="0"/>
              <w:jc w:val="center"/>
              <w:rPr>
                <w:rFonts w:ascii="Arial" w:hAnsi="Arial" w:cs="Arial"/>
                <w:sz w:val="21"/>
                <w:szCs w:val="21"/>
                <w:shd w:val="clear" w:color="auto" w:fill="FFFFFF"/>
              </w:rPr>
            </w:pPr>
            <w:r w:rsidRPr="003F53E8">
              <w:rPr>
                <w:rFonts w:ascii="Arial" w:hAnsi="Arial" w:cs="Arial"/>
                <w:sz w:val="21"/>
                <w:szCs w:val="21"/>
                <w:shd w:val="clear" w:color="auto" w:fill="FFFFFF"/>
              </w:rPr>
              <w:t>48.08</w:t>
            </w:r>
          </w:p>
        </w:tc>
      </w:tr>
      <w:tr w:rsidR="005625C5" w:rsidRPr="003F53E8" w14:paraId="12435C39" w14:textId="77777777" w:rsidTr="009A19B4">
        <w:trPr>
          <w:trHeight w:val="454"/>
        </w:trPr>
        <w:tc>
          <w:tcPr>
            <w:tcW w:w="2699" w:type="dxa"/>
            <w:gridSpan w:val="4"/>
            <w:vAlign w:val="center"/>
          </w:tcPr>
          <w:p w14:paraId="5F6D258D" w14:textId="77777777" w:rsidR="00CB42DE" w:rsidRPr="003F53E8" w:rsidRDefault="0008421B" w:rsidP="005625C5">
            <w:pPr>
              <w:pStyle w:val="TableParagraph"/>
              <w:ind w:left="266"/>
              <w:rPr>
                <w:rFonts w:ascii="Arial" w:eastAsia="宋体" w:hAnsi="Arial" w:cs="Arial"/>
                <w:sz w:val="21"/>
                <w:szCs w:val="21"/>
              </w:rPr>
            </w:pPr>
            <w:r w:rsidRPr="003F53E8">
              <w:rPr>
                <w:rFonts w:ascii="Arial" w:eastAsia="宋体" w:hAnsi="Arial" w:cs="Arial"/>
                <w:sz w:val="21"/>
                <w:szCs w:val="21"/>
              </w:rPr>
              <w:t>其中：无限售条件股份</w:t>
            </w:r>
          </w:p>
        </w:tc>
        <w:tc>
          <w:tcPr>
            <w:tcW w:w="1559" w:type="dxa"/>
            <w:vAlign w:val="center"/>
          </w:tcPr>
          <w:p w14:paraId="30654734"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hAnsi="Arial" w:cs="Arial"/>
                <w:sz w:val="21"/>
                <w:szCs w:val="21"/>
                <w:shd w:val="clear" w:color="auto" w:fill="FFFFFF"/>
              </w:rPr>
              <w:t>11,775.09</w:t>
            </w:r>
          </w:p>
        </w:tc>
        <w:tc>
          <w:tcPr>
            <w:tcW w:w="1843" w:type="dxa"/>
            <w:vAlign w:val="center"/>
          </w:tcPr>
          <w:p w14:paraId="08D94D87"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47.71</w:t>
            </w:r>
          </w:p>
        </w:tc>
        <w:tc>
          <w:tcPr>
            <w:tcW w:w="1417" w:type="dxa"/>
            <w:vAlign w:val="center"/>
          </w:tcPr>
          <w:p w14:paraId="561F76E7" w14:textId="77777777" w:rsidR="00CB42DE" w:rsidRPr="003F53E8" w:rsidRDefault="0008421B" w:rsidP="005625C5">
            <w:pPr>
              <w:pStyle w:val="TableParagraph"/>
              <w:adjustRightInd w:val="0"/>
              <w:snapToGrid w:val="0"/>
              <w:jc w:val="center"/>
              <w:rPr>
                <w:rFonts w:ascii="Arial" w:hAnsi="Arial" w:cs="Arial"/>
                <w:sz w:val="21"/>
                <w:szCs w:val="21"/>
                <w:shd w:val="clear" w:color="auto" w:fill="FFFFFF"/>
              </w:rPr>
            </w:pPr>
            <w:r w:rsidRPr="003F53E8">
              <w:rPr>
                <w:rFonts w:ascii="Arial" w:hAnsi="Arial" w:cs="Arial"/>
                <w:sz w:val="21"/>
                <w:szCs w:val="21"/>
                <w:shd w:val="clear" w:color="auto" w:fill="FFFFFF"/>
              </w:rPr>
              <w:t>11,866.80</w:t>
            </w:r>
          </w:p>
        </w:tc>
        <w:tc>
          <w:tcPr>
            <w:tcW w:w="1559" w:type="dxa"/>
            <w:vAlign w:val="center"/>
          </w:tcPr>
          <w:p w14:paraId="7DDBB30B" w14:textId="77777777" w:rsidR="00CB42DE" w:rsidRPr="003F53E8" w:rsidRDefault="0008421B" w:rsidP="005625C5">
            <w:pPr>
              <w:pStyle w:val="TableParagraph"/>
              <w:adjustRightInd w:val="0"/>
              <w:snapToGrid w:val="0"/>
              <w:jc w:val="center"/>
              <w:rPr>
                <w:rFonts w:ascii="Arial" w:hAnsi="Arial" w:cs="Arial"/>
                <w:sz w:val="21"/>
                <w:szCs w:val="21"/>
                <w:shd w:val="clear" w:color="auto" w:fill="FFFFFF"/>
              </w:rPr>
            </w:pPr>
            <w:r w:rsidRPr="003F53E8">
              <w:rPr>
                <w:rFonts w:ascii="Arial" w:hAnsi="Arial" w:cs="Arial"/>
                <w:sz w:val="21"/>
                <w:szCs w:val="21"/>
                <w:shd w:val="clear" w:color="auto" w:fill="FFFFFF"/>
              </w:rPr>
              <w:t>48.08</w:t>
            </w:r>
          </w:p>
        </w:tc>
      </w:tr>
      <w:tr w:rsidR="005625C5" w:rsidRPr="003F53E8" w14:paraId="1C0751AC" w14:textId="77777777" w:rsidTr="009A19B4">
        <w:trPr>
          <w:trHeight w:val="454"/>
        </w:trPr>
        <w:tc>
          <w:tcPr>
            <w:tcW w:w="2699" w:type="dxa"/>
            <w:gridSpan w:val="4"/>
            <w:vAlign w:val="center"/>
          </w:tcPr>
          <w:p w14:paraId="1EBAB1DE" w14:textId="77777777" w:rsidR="00CB42DE" w:rsidRPr="003F53E8" w:rsidRDefault="0008421B" w:rsidP="005625C5">
            <w:pPr>
              <w:pStyle w:val="TableParagraph"/>
              <w:ind w:left="926"/>
              <w:rPr>
                <w:rFonts w:ascii="Arial" w:eastAsia="宋体" w:hAnsi="Arial" w:cs="Arial"/>
                <w:sz w:val="21"/>
                <w:szCs w:val="21"/>
              </w:rPr>
            </w:pPr>
            <w:r w:rsidRPr="003F53E8">
              <w:rPr>
                <w:rFonts w:ascii="Arial" w:eastAsia="宋体" w:hAnsi="Arial" w:cs="Arial"/>
                <w:sz w:val="21"/>
                <w:szCs w:val="21"/>
              </w:rPr>
              <w:t>有限售条件股份</w:t>
            </w:r>
          </w:p>
        </w:tc>
        <w:tc>
          <w:tcPr>
            <w:tcW w:w="1559" w:type="dxa"/>
            <w:vAlign w:val="center"/>
          </w:tcPr>
          <w:p w14:paraId="156EDFF6"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c>
          <w:tcPr>
            <w:tcW w:w="1843" w:type="dxa"/>
            <w:vAlign w:val="center"/>
          </w:tcPr>
          <w:p w14:paraId="5DAE5EAA"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c>
          <w:tcPr>
            <w:tcW w:w="1417" w:type="dxa"/>
            <w:vAlign w:val="center"/>
          </w:tcPr>
          <w:p w14:paraId="22B4AF5D"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c>
          <w:tcPr>
            <w:tcW w:w="1559" w:type="dxa"/>
            <w:vAlign w:val="center"/>
          </w:tcPr>
          <w:p w14:paraId="3A80F65D" w14:textId="77777777" w:rsidR="00CB42DE" w:rsidRPr="003F53E8" w:rsidRDefault="0008421B" w:rsidP="005625C5">
            <w:pPr>
              <w:pStyle w:val="TableParagraph"/>
              <w:adjustRightInd w:val="0"/>
              <w:snapToGrid w:val="0"/>
              <w:jc w:val="center"/>
              <w:rPr>
                <w:rFonts w:ascii="Arial" w:eastAsia="宋体" w:hAnsi="Arial" w:cs="Arial"/>
                <w:sz w:val="21"/>
                <w:szCs w:val="21"/>
              </w:rPr>
            </w:pPr>
            <w:r w:rsidRPr="003F53E8">
              <w:rPr>
                <w:rFonts w:ascii="Arial" w:eastAsia="宋体" w:hAnsi="Arial" w:cs="Arial"/>
                <w:sz w:val="21"/>
                <w:szCs w:val="21"/>
              </w:rPr>
              <w:t>0</w:t>
            </w:r>
          </w:p>
        </w:tc>
      </w:tr>
      <w:tr w:rsidR="00CB42DE" w:rsidRPr="003F53E8" w14:paraId="502DACBA" w14:textId="77777777" w:rsidTr="005625C5">
        <w:trPr>
          <w:trHeight w:val="472"/>
        </w:trPr>
        <w:tc>
          <w:tcPr>
            <w:tcW w:w="9077" w:type="dxa"/>
            <w:gridSpan w:val="8"/>
          </w:tcPr>
          <w:p w14:paraId="6597EC2F" w14:textId="2BDF0939"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4.</w:t>
            </w:r>
            <w:r w:rsidR="00B76AEC" w:rsidRPr="003F53E8">
              <w:rPr>
                <w:rFonts w:ascii="Arial" w:eastAsia="宋体" w:hAnsi="Arial" w:cs="Arial"/>
                <w:b/>
                <w:sz w:val="21"/>
                <w:szCs w:val="21"/>
              </w:rPr>
              <w:t xml:space="preserve"> </w:t>
            </w:r>
            <w:r w:rsidRPr="003F53E8">
              <w:rPr>
                <w:rFonts w:ascii="Arial" w:eastAsia="宋体" w:hAnsi="Arial" w:cs="Arial"/>
                <w:b/>
                <w:sz w:val="21"/>
                <w:szCs w:val="21"/>
              </w:rPr>
              <w:t>承诺、计划等履行情况</w:t>
            </w:r>
          </w:p>
        </w:tc>
      </w:tr>
      <w:tr w:rsidR="00CB42DE" w:rsidRPr="003F53E8" w14:paraId="1E1B7F35" w14:textId="77777777" w:rsidTr="005625C5">
        <w:trPr>
          <w:trHeight w:val="935"/>
        </w:trPr>
        <w:tc>
          <w:tcPr>
            <w:tcW w:w="2653" w:type="dxa"/>
            <w:gridSpan w:val="2"/>
            <w:vAlign w:val="center"/>
          </w:tcPr>
          <w:p w14:paraId="3467E82A" w14:textId="77777777" w:rsidR="00CB42DE" w:rsidRPr="003F53E8" w:rsidRDefault="0008421B">
            <w:pPr>
              <w:pStyle w:val="TableParagraph"/>
              <w:spacing w:line="360" w:lineRule="exact"/>
              <w:ind w:left="108" w:right="133"/>
              <w:rPr>
                <w:rFonts w:ascii="Arial" w:eastAsia="宋体" w:hAnsi="Arial" w:cs="Arial"/>
                <w:sz w:val="21"/>
                <w:szCs w:val="21"/>
              </w:rPr>
            </w:pPr>
            <w:r w:rsidRPr="003F53E8">
              <w:rPr>
                <w:rFonts w:ascii="Arial" w:eastAsia="宋体" w:hAnsi="Arial" w:cs="Arial"/>
                <w:sz w:val="21"/>
                <w:szCs w:val="21"/>
              </w:rPr>
              <w:t>本次变动是否为履行已作出的承诺、意向、计划</w:t>
            </w:r>
          </w:p>
        </w:tc>
        <w:tc>
          <w:tcPr>
            <w:tcW w:w="6424" w:type="dxa"/>
            <w:gridSpan w:val="6"/>
            <w:vAlign w:val="center"/>
          </w:tcPr>
          <w:p w14:paraId="51204782" w14:textId="77777777" w:rsidR="00CB42DE" w:rsidRPr="003F53E8" w:rsidRDefault="0008421B">
            <w:pPr>
              <w:pStyle w:val="TableParagraph"/>
              <w:spacing w:line="360" w:lineRule="exact"/>
              <w:ind w:left="437" w:right="434"/>
              <w:jc w:val="center"/>
              <w:rPr>
                <w:rFonts w:ascii="Arial" w:eastAsia="宋体" w:hAnsi="Arial" w:cs="Arial"/>
                <w:sz w:val="21"/>
                <w:szCs w:val="21"/>
              </w:rPr>
            </w:pPr>
            <w:r w:rsidRPr="003F53E8">
              <w:rPr>
                <w:rFonts w:ascii="Arial" w:eastAsia="宋体" w:hAnsi="Arial" w:cs="Arial"/>
                <w:sz w:val="21"/>
                <w:szCs w:val="21"/>
              </w:rPr>
              <w:t>是</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r w:rsidRPr="003F53E8">
              <w:rPr>
                <w:rFonts w:ascii="Arial" w:eastAsia="宋体" w:hAnsi="Arial" w:cs="Arial"/>
                <w:sz w:val="21"/>
                <w:szCs w:val="21"/>
              </w:rPr>
              <w:t>否</w:t>
            </w:r>
            <w:r w:rsidRPr="00705C1B">
              <w:rPr>
                <w:rFonts w:ascii="宋体" w:eastAsia="宋体" w:hAnsi="宋体" w:cs="Arial"/>
                <w:sz w:val="21"/>
                <w:szCs w:val="21"/>
              </w:rPr>
              <w:t>□</w:t>
            </w:r>
          </w:p>
          <w:p w14:paraId="16381F4D" w14:textId="77777777" w:rsidR="00CB42DE" w:rsidRPr="003F53E8" w:rsidRDefault="0008421B">
            <w:pPr>
              <w:pStyle w:val="TableParagraph"/>
              <w:spacing w:line="300" w:lineRule="auto"/>
              <w:ind w:firstLineChars="200" w:firstLine="420"/>
              <w:rPr>
                <w:rFonts w:ascii="Arial" w:eastAsia="宋体" w:hAnsi="Arial" w:cs="Arial"/>
                <w:sz w:val="24"/>
                <w:szCs w:val="24"/>
              </w:rPr>
            </w:pPr>
            <w:r w:rsidRPr="003F53E8">
              <w:rPr>
                <w:rFonts w:ascii="Arial" w:eastAsia="宋体" w:hAnsi="Arial" w:cs="Arial"/>
                <w:sz w:val="21"/>
                <w:szCs w:val="21"/>
              </w:rPr>
              <w:t>公司于</w:t>
            </w:r>
            <w:r w:rsidRPr="003F53E8">
              <w:rPr>
                <w:rFonts w:ascii="Arial" w:eastAsia="宋体" w:hAnsi="Arial" w:cs="Arial"/>
                <w:sz w:val="21"/>
                <w:szCs w:val="21"/>
              </w:rPr>
              <w:t>2025</w:t>
            </w:r>
            <w:r w:rsidRPr="003F53E8">
              <w:rPr>
                <w:rFonts w:ascii="Arial" w:eastAsia="宋体" w:hAnsi="Arial" w:cs="Arial"/>
                <w:sz w:val="21"/>
                <w:szCs w:val="21"/>
              </w:rPr>
              <w:t>年</w:t>
            </w:r>
            <w:r w:rsidRPr="003F53E8">
              <w:rPr>
                <w:rFonts w:ascii="Arial" w:eastAsia="宋体" w:hAnsi="Arial" w:cs="Arial"/>
                <w:sz w:val="21"/>
                <w:szCs w:val="21"/>
              </w:rPr>
              <w:t>4</w:t>
            </w:r>
            <w:r w:rsidRPr="003F53E8">
              <w:rPr>
                <w:rFonts w:ascii="Arial" w:eastAsia="宋体" w:hAnsi="Arial" w:cs="Arial"/>
                <w:sz w:val="21"/>
                <w:szCs w:val="21"/>
              </w:rPr>
              <w:t>月</w:t>
            </w:r>
            <w:r w:rsidRPr="003F53E8">
              <w:rPr>
                <w:rFonts w:ascii="Arial" w:eastAsia="宋体" w:hAnsi="Arial" w:cs="Arial"/>
                <w:sz w:val="21"/>
                <w:szCs w:val="21"/>
              </w:rPr>
              <w:t>10</w:t>
            </w:r>
            <w:r w:rsidRPr="003F53E8">
              <w:rPr>
                <w:rFonts w:ascii="Arial" w:eastAsia="宋体" w:hAnsi="Arial" w:cs="Arial"/>
                <w:sz w:val="21"/>
                <w:szCs w:val="21"/>
              </w:rPr>
              <w:t>日披露了《关于控股股东增持公司股份计划的公告》（公告编号：</w:t>
            </w:r>
            <w:r w:rsidRPr="003F53E8">
              <w:rPr>
                <w:rFonts w:ascii="Arial" w:eastAsia="宋体" w:hAnsi="Arial" w:cs="Arial"/>
                <w:sz w:val="21"/>
                <w:szCs w:val="21"/>
              </w:rPr>
              <w:t>2025-023</w:t>
            </w:r>
            <w:r w:rsidRPr="003F53E8">
              <w:rPr>
                <w:rFonts w:ascii="Arial" w:eastAsia="宋体" w:hAnsi="Arial" w:cs="Arial"/>
                <w:sz w:val="21"/>
                <w:szCs w:val="21"/>
              </w:rPr>
              <w:t>），控股股东宝钛集团基于对公司长期投资价值的认可以及未来持续稳定发展的信心，计划自</w:t>
            </w:r>
            <w:r w:rsidRPr="003F53E8">
              <w:rPr>
                <w:rFonts w:ascii="Arial" w:eastAsia="宋体" w:hAnsi="Arial" w:cs="Arial"/>
                <w:sz w:val="21"/>
                <w:szCs w:val="21"/>
              </w:rPr>
              <w:t>2025</w:t>
            </w:r>
            <w:r w:rsidRPr="003F53E8">
              <w:rPr>
                <w:rFonts w:ascii="Arial" w:eastAsia="宋体" w:hAnsi="Arial" w:cs="Arial"/>
                <w:sz w:val="21"/>
                <w:szCs w:val="21"/>
              </w:rPr>
              <w:t>年</w:t>
            </w:r>
            <w:r w:rsidRPr="003F53E8">
              <w:rPr>
                <w:rFonts w:ascii="Arial" w:eastAsia="宋体" w:hAnsi="Arial" w:cs="Arial"/>
                <w:sz w:val="21"/>
                <w:szCs w:val="21"/>
              </w:rPr>
              <w:t>4</w:t>
            </w:r>
            <w:r w:rsidRPr="003F53E8">
              <w:rPr>
                <w:rFonts w:ascii="Arial" w:eastAsia="宋体" w:hAnsi="Arial" w:cs="Arial"/>
                <w:sz w:val="21"/>
                <w:szCs w:val="21"/>
              </w:rPr>
              <w:t>月</w:t>
            </w:r>
            <w:r w:rsidRPr="003F53E8">
              <w:rPr>
                <w:rFonts w:ascii="Arial" w:eastAsia="宋体" w:hAnsi="Arial" w:cs="Arial"/>
                <w:sz w:val="21"/>
                <w:szCs w:val="21"/>
              </w:rPr>
              <w:t>10</w:t>
            </w:r>
            <w:r w:rsidRPr="003F53E8">
              <w:rPr>
                <w:rFonts w:ascii="Arial" w:eastAsia="宋体" w:hAnsi="Arial" w:cs="Arial"/>
                <w:sz w:val="21"/>
                <w:szCs w:val="21"/>
              </w:rPr>
              <w:t>日起</w:t>
            </w:r>
            <w:r w:rsidRPr="003F53E8">
              <w:rPr>
                <w:rFonts w:ascii="Arial" w:eastAsia="宋体" w:hAnsi="Arial" w:cs="Arial"/>
                <w:sz w:val="21"/>
                <w:szCs w:val="21"/>
              </w:rPr>
              <w:t>6</w:t>
            </w:r>
            <w:r w:rsidRPr="003F53E8">
              <w:rPr>
                <w:rFonts w:ascii="Arial" w:eastAsia="宋体" w:hAnsi="Arial" w:cs="Arial"/>
                <w:sz w:val="21"/>
                <w:szCs w:val="21"/>
              </w:rPr>
              <w:t>个月内，通过深圳证券交易所集中竞价交易方式增持公司股份，累计增持金额不低于人民币</w:t>
            </w:r>
            <w:r w:rsidRPr="003F53E8">
              <w:rPr>
                <w:rFonts w:ascii="Arial" w:eastAsia="宋体" w:hAnsi="Arial" w:cs="Arial"/>
                <w:sz w:val="21"/>
                <w:szCs w:val="21"/>
              </w:rPr>
              <w:t>5,000</w:t>
            </w:r>
            <w:r w:rsidRPr="003F53E8">
              <w:rPr>
                <w:rFonts w:ascii="Arial" w:eastAsia="宋体" w:hAnsi="Arial" w:cs="Arial"/>
                <w:sz w:val="21"/>
                <w:szCs w:val="21"/>
              </w:rPr>
              <w:t>万元且不超过人民币</w:t>
            </w:r>
            <w:r w:rsidRPr="003F53E8">
              <w:rPr>
                <w:rFonts w:ascii="Arial" w:eastAsia="宋体" w:hAnsi="Arial" w:cs="Arial"/>
                <w:sz w:val="21"/>
                <w:szCs w:val="21"/>
              </w:rPr>
              <w:t>10,000</w:t>
            </w:r>
            <w:r w:rsidRPr="003F53E8">
              <w:rPr>
                <w:rFonts w:ascii="Arial" w:eastAsia="宋体" w:hAnsi="Arial" w:cs="Arial"/>
                <w:sz w:val="21"/>
                <w:szCs w:val="21"/>
              </w:rPr>
              <w:t>万元，累计增持比例不超过公司总股本的</w:t>
            </w:r>
            <w:r w:rsidRPr="003F53E8">
              <w:rPr>
                <w:rFonts w:ascii="Arial" w:eastAsia="宋体" w:hAnsi="Arial" w:cs="Arial"/>
                <w:sz w:val="21"/>
                <w:szCs w:val="21"/>
              </w:rPr>
              <w:t>2%</w:t>
            </w:r>
            <w:r w:rsidRPr="003F53E8">
              <w:rPr>
                <w:rFonts w:ascii="Arial" w:eastAsia="宋体" w:hAnsi="Arial" w:cs="Arial"/>
                <w:sz w:val="21"/>
                <w:szCs w:val="21"/>
              </w:rPr>
              <w:t>。</w:t>
            </w:r>
          </w:p>
        </w:tc>
      </w:tr>
      <w:tr w:rsidR="00CB42DE" w:rsidRPr="003F53E8" w14:paraId="68D98650" w14:textId="77777777" w:rsidTr="005625C5">
        <w:trPr>
          <w:trHeight w:val="1871"/>
        </w:trPr>
        <w:tc>
          <w:tcPr>
            <w:tcW w:w="2653" w:type="dxa"/>
            <w:gridSpan w:val="2"/>
          </w:tcPr>
          <w:p w14:paraId="1E1261C8" w14:textId="77777777" w:rsidR="00CB42DE" w:rsidRPr="003F53E8" w:rsidRDefault="0008421B">
            <w:pPr>
              <w:pStyle w:val="TableParagraph"/>
              <w:spacing w:line="360" w:lineRule="exact"/>
              <w:ind w:left="108"/>
              <w:rPr>
                <w:rFonts w:ascii="Arial" w:eastAsia="宋体" w:hAnsi="Arial" w:cs="Arial"/>
                <w:sz w:val="21"/>
                <w:szCs w:val="21"/>
              </w:rPr>
            </w:pPr>
            <w:r w:rsidRPr="003F53E8">
              <w:rPr>
                <w:rFonts w:ascii="Arial" w:eastAsia="宋体" w:hAnsi="Arial" w:cs="Arial"/>
                <w:sz w:val="21"/>
                <w:szCs w:val="21"/>
              </w:rPr>
              <w:t>本次变动是否存在违反《证券法》《上市公司购买管理办法》等法律、行政法规、部门规章、规范性文件和本所业务规则等规定的情况</w:t>
            </w:r>
          </w:p>
        </w:tc>
        <w:tc>
          <w:tcPr>
            <w:tcW w:w="6424" w:type="dxa"/>
            <w:gridSpan w:val="6"/>
            <w:vAlign w:val="center"/>
          </w:tcPr>
          <w:p w14:paraId="22369880" w14:textId="531F33BF" w:rsidR="00CB42DE" w:rsidRPr="003F53E8" w:rsidRDefault="0008421B" w:rsidP="00647918">
            <w:pPr>
              <w:pStyle w:val="TableParagraph"/>
              <w:spacing w:line="360" w:lineRule="exact"/>
              <w:ind w:left="40" w:right="434"/>
              <w:jc w:val="center"/>
              <w:rPr>
                <w:rFonts w:ascii="Arial" w:eastAsia="宋体" w:hAnsi="Arial" w:cs="Arial"/>
                <w:sz w:val="21"/>
                <w:szCs w:val="21"/>
              </w:rPr>
            </w:pPr>
            <w:r w:rsidRPr="003F53E8">
              <w:rPr>
                <w:rFonts w:ascii="Arial" w:eastAsia="宋体" w:hAnsi="Arial" w:cs="Arial"/>
                <w:sz w:val="21"/>
                <w:szCs w:val="21"/>
              </w:rPr>
              <w:t>是</w:t>
            </w:r>
            <w:r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否</w:t>
            </w:r>
            <w:r w:rsidRPr="003F53E8">
              <w:rPr>
                <w:rFonts w:ascii="Arial" w:eastAsia="宋体" w:hAnsi="Arial" w:cs="Arial"/>
                <w:sz w:val="24"/>
                <w:szCs w:val="24"/>
              </w:rPr>
              <w:sym w:font="Wingdings 2" w:char="F052"/>
            </w:r>
          </w:p>
        </w:tc>
      </w:tr>
      <w:tr w:rsidR="00CB42DE" w:rsidRPr="003F53E8" w14:paraId="353BC641" w14:textId="77777777" w:rsidTr="005625C5">
        <w:trPr>
          <w:trHeight w:val="472"/>
        </w:trPr>
        <w:tc>
          <w:tcPr>
            <w:tcW w:w="9077" w:type="dxa"/>
            <w:gridSpan w:val="8"/>
          </w:tcPr>
          <w:p w14:paraId="720727F4" w14:textId="4C296C25"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5.</w:t>
            </w:r>
            <w:r w:rsidR="00B76AEC" w:rsidRPr="003F53E8">
              <w:rPr>
                <w:rFonts w:ascii="Arial" w:eastAsia="宋体" w:hAnsi="Arial" w:cs="Arial"/>
                <w:b/>
                <w:sz w:val="21"/>
                <w:szCs w:val="21"/>
              </w:rPr>
              <w:t xml:space="preserve"> </w:t>
            </w:r>
            <w:r w:rsidRPr="003F53E8">
              <w:rPr>
                <w:rFonts w:ascii="Arial" w:eastAsia="宋体" w:hAnsi="Arial" w:cs="Arial"/>
                <w:b/>
                <w:sz w:val="21"/>
                <w:szCs w:val="21"/>
              </w:rPr>
              <w:t>被限制表决权的股份情况</w:t>
            </w:r>
          </w:p>
        </w:tc>
      </w:tr>
      <w:tr w:rsidR="00CB42DE" w:rsidRPr="003F53E8" w14:paraId="5911343B" w14:textId="77777777" w:rsidTr="005625C5">
        <w:trPr>
          <w:trHeight w:val="935"/>
        </w:trPr>
        <w:tc>
          <w:tcPr>
            <w:tcW w:w="2653" w:type="dxa"/>
            <w:gridSpan w:val="2"/>
          </w:tcPr>
          <w:p w14:paraId="1FD893D7" w14:textId="77777777" w:rsidR="00CB42DE" w:rsidRPr="003F53E8" w:rsidRDefault="0008421B" w:rsidP="009A19B4">
            <w:pPr>
              <w:pStyle w:val="TableParagraph"/>
              <w:spacing w:line="276" w:lineRule="auto"/>
              <w:ind w:left="108" w:right="133"/>
              <w:rPr>
                <w:rFonts w:ascii="Arial" w:eastAsia="宋体" w:hAnsi="Arial" w:cs="Arial"/>
                <w:sz w:val="21"/>
                <w:szCs w:val="21"/>
              </w:rPr>
            </w:pPr>
            <w:r w:rsidRPr="003F53E8">
              <w:rPr>
                <w:rFonts w:ascii="Arial" w:eastAsia="宋体" w:hAnsi="Arial" w:cs="Arial"/>
                <w:sz w:val="21"/>
                <w:szCs w:val="21"/>
              </w:rPr>
              <w:t>按照《证券法》第六十三条的规定，是否存在不得行使表决权的股份</w:t>
            </w:r>
          </w:p>
        </w:tc>
        <w:tc>
          <w:tcPr>
            <w:tcW w:w="6424" w:type="dxa"/>
            <w:gridSpan w:val="6"/>
            <w:vAlign w:val="center"/>
          </w:tcPr>
          <w:p w14:paraId="67091CE9" w14:textId="1726EDF7" w:rsidR="00CB42DE" w:rsidRPr="003F53E8" w:rsidRDefault="0008421B" w:rsidP="00647918">
            <w:pPr>
              <w:pStyle w:val="TableParagraph"/>
              <w:spacing w:line="360" w:lineRule="exact"/>
              <w:ind w:left="40" w:right="434"/>
              <w:jc w:val="center"/>
              <w:rPr>
                <w:rFonts w:ascii="Arial" w:eastAsia="宋体" w:hAnsi="Arial" w:cs="Arial"/>
                <w:sz w:val="21"/>
                <w:szCs w:val="21"/>
              </w:rPr>
            </w:pPr>
            <w:r w:rsidRPr="003F53E8">
              <w:rPr>
                <w:rFonts w:ascii="Arial" w:eastAsia="宋体" w:hAnsi="Arial" w:cs="Arial"/>
                <w:sz w:val="21"/>
                <w:szCs w:val="21"/>
              </w:rPr>
              <w:t>是</w:t>
            </w:r>
            <w:r w:rsidR="00705C1B" w:rsidRPr="00705C1B">
              <w:rPr>
                <w:rFonts w:ascii="宋体" w:eastAsia="宋体" w:hAnsi="宋体" w:cs="Arial"/>
                <w:sz w:val="21"/>
                <w:szCs w:val="21"/>
              </w:rPr>
              <w:t>□</w:t>
            </w:r>
            <w:r w:rsidRPr="003F53E8">
              <w:rPr>
                <w:rFonts w:ascii="Arial" w:eastAsia="宋体" w:hAnsi="Arial" w:cs="Arial"/>
                <w:sz w:val="21"/>
                <w:szCs w:val="21"/>
              </w:rPr>
              <w:t xml:space="preserve">      </w:t>
            </w:r>
            <w:r w:rsidRPr="003F53E8">
              <w:rPr>
                <w:rFonts w:ascii="Arial" w:eastAsia="宋体" w:hAnsi="Arial" w:cs="Arial"/>
                <w:sz w:val="21"/>
                <w:szCs w:val="21"/>
              </w:rPr>
              <w:t>否</w:t>
            </w:r>
            <w:r w:rsidRPr="003F53E8">
              <w:rPr>
                <w:rFonts w:ascii="Arial" w:eastAsia="宋体" w:hAnsi="Arial" w:cs="Arial"/>
                <w:sz w:val="24"/>
                <w:szCs w:val="24"/>
              </w:rPr>
              <w:sym w:font="Wingdings 2" w:char="F052"/>
            </w:r>
          </w:p>
        </w:tc>
      </w:tr>
      <w:tr w:rsidR="00CB42DE" w:rsidRPr="003F53E8" w14:paraId="4019B555" w14:textId="77777777" w:rsidTr="005625C5">
        <w:trPr>
          <w:trHeight w:val="472"/>
        </w:trPr>
        <w:tc>
          <w:tcPr>
            <w:tcW w:w="9077" w:type="dxa"/>
            <w:gridSpan w:val="8"/>
          </w:tcPr>
          <w:p w14:paraId="13779260" w14:textId="062EE28A"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6.</w:t>
            </w:r>
            <w:r w:rsidR="00B76AEC" w:rsidRPr="003F53E8">
              <w:rPr>
                <w:rFonts w:ascii="Arial" w:eastAsia="宋体" w:hAnsi="Arial" w:cs="Arial"/>
                <w:b/>
                <w:sz w:val="21"/>
                <w:szCs w:val="21"/>
              </w:rPr>
              <w:t xml:space="preserve"> </w:t>
            </w:r>
            <w:r w:rsidRPr="003F53E8">
              <w:rPr>
                <w:rFonts w:ascii="Arial" w:eastAsia="宋体" w:hAnsi="Arial" w:cs="Arial"/>
                <w:b/>
                <w:sz w:val="21"/>
                <w:szCs w:val="21"/>
              </w:rPr>
              <w:t>30%</w:t>
            </w:r>
            <w:r w:rsidRPr="003F53E8">
              <w:rPr>
                <w:rFonts w:ascii="Arial" w:eastAsia="宋体" w:hAnsi="Arial" w:cs="Arial"/>
                <w:b/>
                <w:sz w:val="21"/>
                <w:szCs w:val="21"/>
              </w:rPr>
              <w:t>以上股东增持股份的进一步说明</w:t>
            </w:r>
          </w:p>
        </w:tc>
      </w:tr>
      <w:tr w:rsidR="00CB42DE" w:rsidRPr="003F53E8" w14:paraId="0FC48052" w14:textId="77777777" w:rsidTr="009A19B4">
        <w:trPr>
          <w:trHeight w:val="1196"/>
        </w:trPr>
        <w:tc>
          <w:tcPr>
            <w:tcW w:w="2681" w:type="dxa"/>
            <w:gridSpan w:val="3"/>
            <w:vAlign w:val="center"/>
          </w:tcPr>
          <w:p w14:paraId="4BFFEF75" w14:textId="77777777" w:rsidR="00CB42DE" w:rsidRPr="003F53E8" w:rsidRDefault="0008421B" w:rsidP="009A19B4">
            <w:pPr>
              <w:pStyle w:val="TableParagraph"/>
              <w:spacing w:line="276" w:lineRule="auto"/>
              <w:ind w:left="108"/>
              <w:rPr>
                <w:rFonts w:ascii="Arial" w:eastAsia="宋体" w:hAnsi="Arial" w:cs="Arial"/>
                <w:sz w:val="21"/>
                <w:szCs w:val="21"/>
              </w:rPr>
            </w:pPr>
            <w:r w:rsidRPr="003F53E8">
              <w:rPr>
                <w:rFonts w:ascii="Arial" w:eastAsia="宋体" w:hAnsi="Arial" w:cs="Arial"/>
                <w:sz w:val="21"/>
                <w:szCs w:val="21"/>
              </w:rPr>
              <w:t>本次增持是否符合《上市公司收购管理办法》规定的免于要约收购的情形</w:t>
            </w:r>
          </w:p>
        </w:tc>
        <w:tc>
          <w:tcPr>
            <w:tcW w:w="6396" w:type="dxa"/>
            <w:gridSpan w:val="5"/>
            <w:vAlign w:val="center"/>
          </w:tcPr>
          <w:p w14:paraId="59B142BB" w14:textId="1400244D" w:rsidR="00CB42DE" w:rsidRPr="003F53E8" w:rsidRDefault="00647918" w:rsidP="00647918">
            <w:pPr>
              <w:pStyle w:val="TableParagraph"/>
              <w:spacing w:line="400" w:lineRule="exact"/>
              <w:ind w:left="108" w:firstLineChars="1000" w:firstLine="2100"/>
              <w:rPr>
                <w:rFonts w:ascii="Arial" w:eastAsia="宋体" w:hAnsi="Arial" w:cs="Arial"/>
                <w:b/>
                <w:sz w:val="21"/>
                <w:szCs w:val="21"/>
              </w:rPr>
            </w:pPr>
            <w:r w:rsidRPr="003F53E8">
              <w:rPr>
                <w:rFonts w:ascii="Arial" w:eastAsia="宋体" w:hAnsi="Arial" w:cs="Arial"/>
                <w:sz w:val="21"/>
                <w:szCs w:val="21"/>
              </w:rPr>
              <w:t>是</w:t>
            </w:r>
            <w:r w:rsidRPr="003F53E8">
              <w:rPr>
                <w:rFonts w:ascii="Arial" w:eastAsia="宋体" w:hAnsi="Arial" w:cs="Arial"/>
                <w:sz w:val="24"/>
                <w:szCs w:val="24"/>
              </w:rPr>
              <w:sym w:font="Wingdings 2" w:char="F052"/>
            </w:r>
            <w:r w:rsidRPr="003F53E8">
              <w:rPr>
                <w:rFonts w:ascii="Arial" w:eastAsia="宋体" w:hAnsi="Arial" w:cs="Arial"/>
                <w:sz w:val="21"/>
                <w:szCs w:val="21"/>
              </w:rPr>
              <w:t xml:space="preserve">      </w:t>
            </w:r>
            <w:r w:rsidRPr="003F53E8">
              <w:rPr>
                <w:rFonts w:ascii="Arial" w:eastAsia="宋体" w:hAnsi="Arial" w:cs="Arial"/>
                <w:sz w:val="21"/>
                <w:szCs w:val="21"/>
              </w:rPr>
              <w:t>否</w:t>
            </w:r>
            <w:r w:rsidR="00705C1B" w:rsidRPr="00705C1B">
              <w:rPr>
                <w:rFonts w:ascii="宋体" w:eastAsia="宋体" w:hAnsi="宋体" w:cs="Arial"/>
                <w:sz w:val="21"/>
                <w:szCs w:val="21"/>
              </w:rPr>
              <w:t>□</w:t>
            </w:r>
          </w:p>
        </w:tc>
      </w:tr>
      <w:tr w:rsidR="00CB42DE" w:rsidRPr="003F53E8" w14:paraId="6321871C" w14:textId="77777777" w:rsidTr="009A19B4">
        <w:trPr>
          <w:trHeight w:val="828"/>
        </w:trPr>
        <w:tc>
          <w:tcPr>
            <w:tcW w:w="2681" w:type="dxa"/>
            <w:gridSpan w:val="3"/>
            <w:vAlign w:val="center"/>
          </w:tcPr>
          <w:p w14:paraId="0B160C38" w14:textId="77777777" w:rsidR="00CB42DE" w:rsidRPr="003F53E8" w:rsidRDefault="0008421B" w:rsidP="009A19B4">
            <w:pPr>
              <w:pStyle w:val="TableParagraph"/>
              <w:spacing w:line="276" w:lineRule="auto"/>
              <w:ind w:left="108"/>
              <w:rPr>
                <w:rFonts w:ascii="Arial" w:eastAsia="宋体" w:hAnsi="Arial" w:cs="Arial"/>
                <w:sz w:val="21"/>
                <w:szCs w:val="21"/>
              </w:rPr>
            </w:pPr>
            <w:r w:rsidRPr="003F53E8">
              <w:rPr>
                <w:rFonts w:ascii="Arial" w:eastAsia="宋体" w:hAnsi="Arial" w:cs="Arial"/>
                <w:sz w:val="21"/>
                <w:szCs w:val="21"/>
              </w:rPr>
              <w:t>股东及其一致行动人法定期限内不减持公司股份的承诺</w:t>
            </w:r>
          </w:p>
        </w:tc>
        <w:tc>
          <w:tcPr>
            <w:tcW w:w="6396" w:type="dxa"/>
            <w:gridSpan w:val="5"/>
          </w:tcPr>
          <w:p w14:paraId="6DD55A0D" w14:textId="77777777" w:rsidR="00CB42DE" w:rsidRPr="003F53E8" w:rsidRDefault="0008421B">
            <w:pPr>
              <w:pStyle w:val="TableParagraph"/>
              <w:spacing w:line="360" w:lineRule="exact"/>
              <w:ind w:left="164" w:right="115" w:firstLineChars="200" w:firstLine="420"/>
              <w:rPr>
                <w:rFonts w:ascii="Arial" w:eastAsia="宋体" w:hAnsi="Arial" w:cs="Arial"/>
                <w:b/>
                <w:sz w:val="21"/>
                <w:szCs w:val="21"/>
              </w:rPr>
            </w:pPr>
            <w:r w:rsidRPr="003F53E8">
              <w:rPr>
                <w:rFonts w:ascii="Arial" w:eastAsia="宋体" w:hAnsi="Arial" w:cs="Arial"/>
                <w:sz w:val="21"/>
                <w:szCs w:val="21"/>
              </w:rPr>
              <w:t>宝钛集团承诺在本次增持计划实施期间及法定期限内不减持所持有的本公司股票。</w:t>
            </w:r>
          </w:p>
        </w:tc>
      </w:tr>
      <w:tr w:rsidR="00CB42DE" w:rsidRPr="003F53E8" w14:paraId="6B65BD85" w14:textId="77777777" w:rsidTr="005625C5">
        <w:trPr>
          <w:trHeight w:val="470"/>
        </w:trPr>
        <w:tc>
          <w:tcPr>
            <w:tcW w:w="9077" w:type="dxa"/>
            <w:gridSpan w:val="8"/>
          </w:tcPr>
          <w:p w14:paraId="67758AE7" w14:textId="67B6F712" w:rsidR="00CB42DE" w:rsidRPr="003F53E8" w:rsidRDefault="0008421B">
            <w:pPr>
              <w:pStyle w:val="TableParagraph"/>
              <w:spacing w:line="400" w:lineRule="exact"/>
              <w:ind w:left="107"/>
              <w:rPr>
                <w:rFonts w:ascii="Arial" w:eastAsia="宋体" w:hAnsi="Arial" w:cs="Arial"/>
                <w:b/>
                <w:sz w:val="21"/>
                <w:szCs w:val="21"/>
              </w:rPr>
            </w:pPr>
            <w:r w:rsidRPr="003F53E8">
              <w:rPr>
                <w:rFonts w:ascii="Arial" w:eastAsia="宋体" w:hAnsi="Arial" w:cs="Arial"/>
                <w:b/>
                <w:sz w:val="21"/>
                <w:szCs w:val="21"/>
              </w:rPr>
              <w:t>7.</w:t>
            </w:r>
            <w:r w:rsidR="00B76AEC" w:rsidRPr="003F53E8">
              <w:rPr>
                <w:rFonts w:ascii="Arial" w:eastAsia="宋体" w:hAnsi="Arial" w:cs="Arial"/>
                <w:b/>
                <w:sz w:val="21"/>
                <w:szCs w:val="21"/>
              </w:rPr>
              <w:t xml:space="preserve"> </w:t>
            </w:r>
            <w:r w:rsidRPr="003F53E8">
              <w:rPr>
                <w:rFonts w:ascii="Arial" w:eastAsia="宋体" w:hAnsi="Arial" w:cs="Arial"/>
                <w:b/>
                <w:sz w:val="21"/>
                <w:szCs w:val="21"/>
              </w:rPr>
              <w:t>备查文件</w:t>
            </w:r>
          </w:p>
        </w:tc>
      </w:tr>
      <w:tr w:rsidR="00CB42DE" w:rsidRPr="003F53E8" w14:paraId="3D433221" w14:textId="77777777" w:rsidTr="005625C5">
        <w:trPr>
          <w:trHeight w:val="1250"/>
        </w:trPr>
        <w:tc>
          <w:tcPr>
            <w:tcW w:w="9077" w:type="dxa"/>
            <w:gridSpan w:val="8"/>
          </w:tcPr>
          <w:p w14:paraId="7DCED87C" w14:textId="670F58FF" w:rsidR="00CB42DE" w:rsidRPr="003F53E8" w:rsidRDefault="0008421B">
            <w:pPr>
              <w:pStyle w:val="TableParagraph"/>
              <w:tabs>
                <w:tab w:val="left" w:pos="470"/>
              </w:tabs>
              <w:spacing w:line="400" w:lineRule="exact"/>
              <w:ind w:left="106"/>
              <w:rPr>
                <w:rFonts w:ascii="Arial" w:eastAsia="宋体" w:hAnsi="Arial" w:cs="Arial"/>
                <w:sz w:val="21"/>
                <w:szCs w:val="21"/>
              </w:rPr>
            </w:pPr>
            <w:r w:rsidRPr="003F53E8">
              <w:rPr>
                <w:rFonts w:ascii="Arial" w:eastAsia="宋体" w:hAnsi="Arial" w:cs="Arial"/>
                <w:sz w:val="21"/>
                <w:szCs w:val="21"/>
              </w:rPr>
              <w:t>1.</w:t>
            </w:r>
            <w:r w:rsidRPr="003F53E8">
              <w:rPr>
                <w:rFonts w:ascii="Arial" w:eastAsia="宋体" w:hAnsi="Arial" w:cs="Arial"/>
                <w:sz w:val="21"/>
                <w:szCs w:val="21"/>
              </w:rPr>
              <w:t>中国证券登记结算有限责任公司持股变动明细</w:t>
            </w:r>
            <w:bookmarkStart w:id="0" w:name="_GoBack"/>
            <w:bookmarkEnd w:id="0"/>
            <w:r w:rsidR="00705C1B" w:rsidRPr="00705C1B">
              <w:rPr>
                <w:rFonts w:ascii="宋体" w:eastAsia="宋体" w:hAnsi="宋体" w:cs="Arial"/>
                <w:sz w:val="21"/>
                <w:szCs w:val="21"/>
              </w:rPr>
              <w:t>□</w:t>
            </w:r>
          </w:p>
          <w:p w14:paraId="4533232F" w14:textId="40E54E15" w:rsidR="00CB42DE" w:rsidRPr="003F53E8" w:rsidRDefault="0008421B">
            <w:pPr>
              <w:pStyle w:val="TableParagraph"/>
              <w:tabs>
                <w:tab w:val="left" w:pos="470"/>
              </w:tabs>
              <w:spacing w:line="400" w:lineRule="exact"/>
              <w:ind w:left="106"/>
              <w:rPr>
                <w:rFonts w:ascii="Arial" w:eastAsia="宋体" w:hAnsi="Arial" w:cs="Arial"/>
                <w:sz w:val="21"/>
                <w:szCs w:val="21"/>
              </w:rPr>
            </w:pPr>
            <w:r w:rsidRPr="003F53E8">
              <w:rPr>
                <w:rFonts w:ascii="Arial" w:eastAsia="宋体" w:hAnsi="Arial" w:cs="Arial"/>
                <w:sz w:val="21"/>
                <w:szCs w:val="21"/>
              </w:rPr>
              <w:t>2.</w:t>
            </w:r>
            <w:r w:rsidRPr="003F53E8">
              <w:rPr>
                <w:rFonts w:ascii="Arial" w:eastAsia="宋体" w:hAnsi="Arial" w:cs="Arial"/>
                <w:sz w:val="21"/>
                <w:szCs w:val="21"/>
              </w:rPr>
              <w:t>相关书面承诺文件</w:t>
            </w:r>
            <w:r w:rsidR="00705C1B" w:rsidRPr="00705C1B">
              <w:rPr>
                <w:rFonts w:ascii="宋体" w:eastAsia="宋体" w:hAnsi="宋体" w:cs="Arial"/>
                <w:sz w:val="21"/>
                <w:szCs w:val="21"/>
              </w:rPr>
              <w:t>□</w:t>
            </w:r>
          </w:p>
          <w:p w14:paraId="2EAE5BA5" w14:textId="09AA32FF" w:rsidR="00CB42DE" w:rsidRPr="003F53E8" w:rsidRDefault="0008421B">
            <w:pPr>
              <w:pStyle w:val="TableParagraph"/>
              <w:tabs>
                <w:tab w:val="left" w:pos="470"/>
              </w:tabs>
              <w:spacing w:line="400" w:lineRule="exact"/>
              <w:ind w:left="106"/>
              <w:rPr>
                <w:rFonts w:ascii="Arial" w:eastAsia="宋体" w:hAnsi="Arial" w:cs="Arial"/>
                <w:sz w:val="21"/>
                <w:szCs w:val="21"/>
              </w:rPr>
            </w:pPr>
            <w:r w:rsidRPr="003F53E8">
              <w:rPr>
                <w:rFonts w:ascii="Arial" w:eastAsia="宋体" w:hAnsi="Arial" w:cs="Arial"/>
                <w:sz w:val="21"/>
                <w:szCs w:val="21"/>
              </w:rPr>
              <w:t>3.</w:t>
            </w:r>
            <w:r w:rsidRPr="003F53E8">
              <w:rPr>
                <w:rFonts w:ascii="Arial" w:eastAsia="宋体" w:hAnsi="Arial" w:cs="Arial"/>
                <w:sz w:val="21"/>
                <w:szCs w:val="21"/>
              </w:rPr>
              <w:t>律师的书面意见</w:t>
            </w:r>
            <w:r w:rsidR="00705C1B" w:rsidRPr="00705C1B">
              <w:rPr>
                <w:rFonts w:ascii="宋体" w:eastAsia="宋体" w:hAnsi="宋体" w:cs="Arial"/>
                <w:sz w:val="21"/>
                <w:szCs w:val="21"/>
              </w:rPr>
              <w:t>□</w:t>
            </w:r>
          </w:p>
          <w:p w14:paraId="359D0672" w14:textId="09723C9C" w:rsidR="00CB42DE" w:rsidRPr="003F53E8" w:rsidRDefault="0008421B">
            <w:pPr>
              <w:pStyle w:val="TableParagraph"/>
              <w:tabs>
                <w:tab w:val="left" w:pos="470"/>
              </w:tabs>
              <w:spacing w:line="400" w:lineRule="exact"/>
              <w:ind w:left="106"/>
              <w:rPr>
                <w:rFonts w:ascii="Arial" w:eastAsia="宋体" w:hAnsi="Arial" w:cs="Arial"/>
                <w:sz w:val="21"/>
                <w:szCs w:val="21"/>
              </w:rPr>
            </w:pPr>
            <w:r w:rsidRPr="003F53E8">
              <w:rPr>
                <w:rFonts w:ascii="Arial" w:eastAsia="宋体" w:hAnsi="Arial" w:cs="Arial"/>
                <w:sz w:val="21"/>
                <w:szCs w:val="21"/>
              </w:rPr>
              <w:t>4.</w:t>
            </w:r>
            <w:r w:rsidRPr="003F53E8">
              <w:rPr>
                <w:rFonts w:ascii="Arial" w:eastAsia="宋体" w:hAnsi="Arial" w:cs="Arial"/>
                <w:sz w:val="21"/>
                <w:szCs w:val="21"/>
              </w:rPr>
              <w:t>本所要求的其他文件</w:t>
            </w:r>
            <w:r w:rsidR="00647918" w:rsidRPr="003F53E8">
              <w:rPr>
                <w:rFonts w:ascii="Arial" w:eastAsia="宋体" w:hAnsi="Arial" w:cs="Arial"/>
                <w:sz w:val="24"/>
                <w:szCs w:val="24"/>
              </w:rPr>
              <w:sym w:font="Wingdings 2" w:char="F052"/>
            </w:r>
          </w:p>
        </w:tc>
      </w:tr>
    </w:tbl>
    <w:p w14:paraId="167FDF8D" w14:textId="77777777" w:rsidR="00CB42DE" w:rsidRDefault="0008421B">
      <w:pPr>
        <w:spacing w:beforeLines="50" w:before="156"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四、增持计划实施的不确定性风险</w:t>
      </w:r>
    </w:p>
    <w:p w14:paraId="07C87202" w14:textId="77777777"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本次增持计划可能存在因资本市场情况发生变化或目前尚无法预判的其他风险因素导致增持计划的实施无法达到预期的风险。如增持计划实施过程中出现上述风险情形，公司将及时履行相关信息披露义务。</w:t>
      </w:r>
    </w:p>
    <w:p w14:paraId="132CDBFB" w14:textId="77777777" w:rsidR="00CB42DE" w:rsidRDefault="0008421B">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五、其他相关说明</w:t>
      </w:r>
    </w:p>
    <w:p w14:paraId="6ACE9E4F" w14:textId="77777777"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1</w:t>
      </w:r>
      <w:r>
        <w:rPr>
          <w:rFonts w:ascii="Arial" w:hAnsi="Arial" w:cs="Arial" w:hint="eastAsia"/>
          <w:sz w:val="24"/>
          <w:szCs w:val="24"/>
          <w:shd w:val="clear" w:color="auto" w:fill="FFFFFF"/>
        </w:rPr>
        <w:t>、本次增持计划符合《证券法》《上市公司收购管理办法》以及《深圳证券交</w:t>
      </w:r>
      <w:r>
        <w:rPr>
          <w:rFonts w:ascii="Arial" w:hAnsi="Arial" w:cs="Arial"/>
          <w:sz w:val="24"/>
          <w:szCs w:val="24"/>
          <w:shd w:val="clear" w:color="auto" w:fill="FFFFFF"/>
        </w:rPr>
        <w:t xml:space="preserve"> </w:t>
      </w:r>
      <w:r>
        <w:rPr>
          <w:rFonts w:ascii="Arial" w:hAnsi="Arial" w:cs="Arial" w:hint="eastAsia"/>
          <w:sz w:val="24"/>
          <w:szCs w:val="24"/>
          <w:shd w:val="clear" w:color="auto" w:fill="FFFFFF"/>
        </w:rPr>
        <w:t>易所上市公司自律监管指引第</w:t>
      </w:r>
      <w:r>
        <w:rPr>
          <w:rFonts w:ascii="Arial" w:hAnsi="Arial" w:cs="Arial"/>
          <w:sz w:val="24"/>
          <w:szCs w:val="24"/>
          <w:shd w:val="clear" w:color="auto" w:fill="FFFFFF"/>
        </w:rPr>
        <w:t xml:space="preserve"> 10 </w:t>
      </w:r>
      <w:r>
        <w:rPr>
          <w:rFonts w:ascii="Arial" w:hAnsi="Arial" w:cs="Arial" w:hint="eastAsia"/>
          <w:sz w:val="24"/>
          <w:szCs w:val="24"/>
          <w:shd w:val="clear" w:color="auto" w:fill="FFFFFF"/>
        </w:rPr>
        <w:t>号</w:t>
      </w:r>
      <w:r>
        <w:rPr>
          <w:rFonts w:ascii="Arial" w:hAnsi="Arial" w:cs="Arial"/>
          <w:sz w:val="24"/>
          <w:szCs w:val="24"/>
          <w:shd w:val="clear" w:color="auto" w:fill="FFFFFF"/>
        </w:rPr>
        <w:t>——</w:t>
      </w:r>
      <w:r>
        <w:rPr>
          <w:rFonts w:ascii="Arial" w:hAnsi="Arial" w:cs="Arial" w:hint="eastAsia"/>
          <w:sz w:val="24"/>
          <w:szCs w:val="24"/>
          <w:shd w:val="clear" w:color="auto" w:fill="FFFFFF"/>
        </w:rPr>
        <w:t>股份变动管理》等法律法规、部门规章及规范性文件的相关规定。</w:t>
      </w:r>
    </w:p>
    <w:p w14:paraId="5DA7B8B6" w14:textId="77777777"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2</w:t>
      </w:r>
      <w:r>
        <w:rPr>
          <w:rFonts w:ascii="Arial" w:hAnsi="Arial" w:cs="Arial" w:hint="eastAsia"/>
          <w:sz w:val="24"/>
          <w:szCs w:val="24"/>
          <w:shd w:val="clear" w:color="auto" w:fill="FFFFFF"/>
        </w:rPr>
        <w:t>、本次增持行为不触及要约收购，不会导致公司股权分布不符合上市条件，不</w:t>
      </w:r>
      <w:r>
        <w:rPr>
          <w:rFonts w:ascii="Arial" w:hAnsi="Arial" w:cs="Arial"/>
          <w:sz w:val="24"/>
          <w:szCs w:val="24"/>
          <w:shd w:val="clear" w:color="auto" w:fill="FFFFFF"/>
        </w:rPr>
        <w:t xml:space="preserve"> </w:t>
      </w:r>
      <w:r>
        <w:rPr>
          <w:rFonts w:ascii="Arial" w:hAnsi="Arial" w:cs="Arial" w:hint="eastAsia"/>
          <w:sz w:val="24"/>
          <w:szCs w:val="24"/>
          <w:shd w:val="clear" w:color="auto" w:fill="FFFFFF"/>
        </w:rPr>
        <w:t>会导致公司控股股东及实际控制人发生变化，不会对公司治理结构及持续经营产生</w:t>
      </w:r>
      <w:r>
        <w:rPr>
          <w:rFonts w:ascii="Arial" w:hAnsi="Arial" w:cs="Arial"/>
          <w:sz w:val="24"/>
          <w:szCs w:val="24"/>
          <w:shd w:val="clear" w:color="auto" w:fill="FFFFFF"/>
        </w:rPr>
        <w:t xml:space="preserve"> </w:t>
      </w:r>
      <w:r>
        <w:rPr>
          <w:rFonts w:ascii="Arial" w:hAnsi="Arial" w:cs="Arial" w:hint="eastAsia"/>
          <w:sz w:val="24"/>
          <w:szCs w:val="24"/>
          <w:shd w:val="clear" w:color="auto" w:fill="FFFFFF"/>
        </w:rPr>
        <w:t>影响。</w:t>
      </w:r>
    </w:p>
    <w:p w14:paraId="57FC80DA" w14:textId="77777777"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3</w:t>
      </w:r>
      <w:r>
        <w:rPr>
          <w:rFonts w:ascii="Arial" w:hAnsi="Arial" w:cs="Arial" w:hint="eastAsia"/>
          <w:sz w:val="24"/>
          <w:szCs w:val="24"/>
          <w:shd w:val="clear" w:color="auto" w:fill="FFFFFF"/>
        </w:rPr>
        <w:t>、公司将持续关注本次增持计划的相关情况，并按照相关规定及时履行信息披露义务，敬请投资者注意投资风险。</w:t>
      </w:r>
    </w:p>
    <w:p w14:paraId="70E65011" w14:textId="77777777" w:rsidR="00CB42DE" w:rsidRDefault="0008421B">
      <w:pPr>
        <w:spacing w:beforeLines="25" w:before="78" w:line="360" w:lineRule="auto"/>
        <w:ind w:firstLineChars="200" w:firstLine="482"/>
        <w:rPr>
          <w:rFonts w:ascii="Arial" w:hAnsi="Arial" w:cs="Arial"/>
          <w:b/>
          <w:sz w:val="24"/>
          <w:szCs w:val="24"/>
          <w:shd w:val="clear" w:color="auto" w:fill="FFFFFF"/>
        </w:rPr>
      </w:pPr>
      <w:r>
        <w:rPr>
          <w:rFonts w:ascii="Arial" w:hAnsi="Arial" w:cs="Arial" w:hint="eastAsia"/>
          <w:b/>
          <w:sz w:val="24"/>
          <w:szCs w:val="24"/>
          <w:shd w:val="clear" w:color="auto" w:fill="FFFFFF"/>
        </w:rPr>
        <w:t>六、备查文件</w:t>
      </w:r>
    </w:p>
    <w:p w14:paraId="66D995F1" w14:textId="6A212DF7" w:rsidR="00CB42DE" w:rsidRDefault="0008421B">
      <w:pPr>
        <w:spacing w:line="360" w:lineRule="auto"/>
        <w:ind w:firstLineChars="200" w:firstLine="480"/>
        <w:rPr>
          <w:rFonts w:ascii="Arial" w:hAnsi="Arial" w:cs="Arial"/>
          <w:sz w:val="24"/>
          <w:szCs w:val="24"/>
          <w:shd w:val="clear" w:color="auto" w:fill="FFFFFF"/>
        </w:rPr>
      </w:pPr>
      <w:r>
        <w:rPr>
          <w:rFonts w:ascii="Arial" w:hAnsi="Arial" w:cs="Arial"/>
          <w:sz w:val="24"/>
          <w:szCs w:val="24"/>
          <w:shd w:val="clear" w:color="auto" w:fill="FFFFFF"/>
        </w:rPr>
        <w:t>1</w:t>
      </w:r>
      <w:r>
        <w:rPr>
          <w:rFonts w:ascii="Arial" w:hAnsi="Arial" w:cs="Arial" w:hint="eastAsia"/>
          <w:sz w:val="24"/>
          <w:szCs w:val="24"/>
          <w:shd w:val="clear" w:color="auto" w:fill="FFFFFF"/>
        </w:rPr>
        <w:t>、</w:t>
      </w:r>
      <w:r w:rsidR="00804DE1">
        <w:rPr>
          <w:rFonts w:ascii="Arial" w:hAnsi="Arial" w:cs="Arial" w:hint="eastAsia"/>
          <w:sz w:val="24"/>
          <w:szCs w:val="24"/>
          <w:shd w:val="clear" w:color="auto" w:fill="FFFFFF"/>
        </w:rPr>
        <w:t>《宝钛集团有限公司关于增持南京宝色股份公司股份进展情况的告知函》。</w:t>
      </w:r>
    </w:p>
    <w:p w14:paraId="3BBDA681" w14:textId="77777777" w:rsidR="00CB42DE" w:rsidRDefault="0008421B">
      <w:pPr>
        <w:spacing w:beforeLines="50" w:before="156" w:line="360" w:lineRule="auto"/>
        <w:ind w:firstLineChars="200" w:firstLine="480"/>
        <w:rPr>
          <w:rFonts w:ascii="Arial" w:hAnsi="Arial" w:cs="Arial"/>
          <w:sz w:val="24"/>
          <w:szCs w:val="24"/>
          <w:shd w:val="clear" w:color="auto" w:fill="FFFFFF"/>
        </w:rPr>
      </w:pPr>
      <w:r>
        <w:rPr>
          <w:rFonts w:ascii="Arial" w:hAnsi="Arial" w:cs="Arial" w:hint="eastAsia"/>
          <w:sz w:val="24"/>
          <w:szCs w:val="24"/>
          <w:shd w:val="clear" w:color="auto" w:fill="FFFFFF"/>
        </w:rPr>
        <w:t>特此公告。</w:t>
      </w:r>
    </w:p>
    <w:p w14:paraId="24AD1BBA" w14:textId="77777777" w:rsidR="00CB42DE" w:rsidRDefault="00CB42DE">
      <w:pPr>
        <w:autoSpaceDE w:val="0"/>
        <w:autoSpaceDN w:val="0"/>
        <w:adjustRightInd w:val="0"/>
        <w:spacing w:beforeLines="25" w:before="78" w:line="360" w:lineRule="auto"/>
        <w:ind w:firstLineChars="2350" w:firstLine="5640"/>
        <w:jc w:val="right"/>
        <w:rPr>
          <w:rFonts w:ascii="Arial" w:hAnsi="宋体" w:cs="Arial"/>
          <w:color w:val="000000"/>
          <w:kern w:val="0"/>
          <w:sz w:val="24"/>
          <w:szCs w:val="24"/>
        </w:rPr>
      </w:pPr>
    </w:p>
    <w:p w14:paraId="2D1D08FE" w14:textId="77777777" w:rsidR="00CB42DE" w:rsidRDefault="0008421B">
      <w:pPr>
        <w:autoSpaceDE w:val="0"/>
        <w:autoSpaceDN w:val="0"/>
        <w:adjustRightInd w:val="0"/>
        <w:spacing w:beforeLines="25" w:before="78" w:line="360" w:lineRule="auto"/>
        <w:ind w:firstLineChars="2350" w:firstLine="564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14:paraId="2A2D70B9" w14:textId="77777777" w:rsidR="00CB42DE" w:rsidRDefault="0008421B">
      <w:pPr>
        <w:spacing w:beforeLines="25" w:before="78" w:line="360" w:lineRule="auto"/>
        <w:jc w:val="right"/>
        <w:rPr>
          <w:rFonts w:ascii="Arial" w:hAnsi="宋体" w:cs="Arial"/>
          <w:color w:val="000000"/>
          <w:kern w:val="0"/>
          <w:sz w:val="24"/>
          <w:szCs w:val="24"/>
        </w:rPr>
      </w:pPr>
      <w:r>
        <w:rPr>
          <w:rFonts w:ascii="Arial" w:hAnsi="Arial" w:cs="Arial"/>
          <w:color w:val="000000"/>
          <w:kern w:val="0"/>
          <w:sz w:val="24"/>
          <w:szCs w:val="24"/>
        </w:rPr>
        <w:t>20</w:t>
      </w:r>
      <w:r>
        <w:rPr>
          <w:rFonts w:ascii="Arial" w:hAnsi="Arial" w:cs="Arial" w:hint="eastAsia"/>
          <w:color w:val="000000"/>
          <w:kern w:val="0"/>
          <w:sz w:val="24"/>
          <w:szCs w:val="24"/>
        </w:rPr>
        <w:t>25</w:t>
      </w:r>
      <w:r>
        <w:rPr>
          <w:rFonts w:ascii="Arial" w:hAnsi="宋体" w:cs="Arial"/>
          <w:color w:val="000000"/>
          <w:kern w:val="0"/>
          <w:sz w:val="24"/>
          <w:szCs w:val="24"/>
        </w:rPr>
        <w:t>年</w:t>
      </w:r>
      <w:r>
        <w:rPr>
          <w:rFonts w:ascii="Arial" w:hAnsi="宋体" w:cs="Arial"/>
          <w:color w:val="000000"/>
          <w:kern w:val="0"/>
          <w:sz w:val="24"/>
          <w:szCs w:val="24"/>
        </w:rPr>
        <w:t>9</w:t>
      </w:r>
      <w:r>
        <w:rPr>
          <w:rFonts w:ascii="Arial" w:hAnsi="宋体" w:cs="Arial"/>
          <w:color w:val="000000"/>
          <w:kern w:val="0"/>
          <w:sz w:val="24"/>
          <w:szCs w:val="24"/>
        </w:rPr>
        <w:t>月</w:t>
      </w:r>
      <w:r>
        <w:rPr>
          <w:rFonts w:ascii="Arial" w:hAnsi="宋体" w:cs="Arial"/>
          <w:color w:val="000000"/>
          <w:kern w:val="0"/>
          <w:sz w:val="24"/>
          <w:szCs w:val="24"/>
        </w:rPr>
        <w:t>4</w:t>
      </w:r>
      <w:r>
        <w:rPr>
          <w:rFonts w:ascii="Arial" w:hAnsi="宋体" w:cs="Arial"/>
          <w:color w:val="000000"/>
          <w:kern w:val="0"/>
          <w:sz w:val="24"/>
          <w:szCs w:val="24"/>
        </w:rPr>
        <w:t>日</w:t>
      </w:r>
    </w:p>
    <w:p w14:paraId="69810C46" w14:textId="77777777" w:rsidR="00CB42DE" w:rsidRDefault="00CB42DE">
      <w:pPr>
        <w:spacing w:beforeLines="25" w:before="78" w:line="360" w:lineRule="auto"/>
        <w:jc w:val="right"/>
        <w:rPr>
          <w:rFonts w:ascii="Arial" w:hAnsi="宋体" w:cs="Arial"/>
          <w:color w:val="000000"/>
          <w:kern w:val="0"/>
          <w:sz w:val="24"/>
          <w:szCs w:val="24"/>
        </w:rPr>
      </w:pPr>
    </w:p>
    <w:p w14:paraId="2EB7EDB8"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2F2129EF"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01A6BD10"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01F848AC"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1E97A816"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3B2BE7B3"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6E45466B"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6D9C4D40" w14:textId="77777777" w:rsidR="00CB42DE" w:rsidRDefault="00CB42DE">
      <w:pPr>
        <w:spacing w:beforeLines="25" w:before="78" w:line="360" w:lineRule="auto"/>
        <w:ind w:firstLineChars="200" w:firstLine="482"/>
        <w:rPr>
          <w:rFonts w:ascii="Arial" w:hAnsi="Arial" w:cs="Arial"/>
          <w:b/>
          <w:sz w:val="24"/>
          <w:szCs w:val="24"/>
          <w:shd w:val="clear" w:color="auto" w:fill="FFFFFF"/>
        </w:rPr>
      </w:pPr>
    </w:p>
    <w:p w14:paraId="7BEE951B" w14:textId="77777777" w:rsidR="00CB42DE" w:rsidRDefault="00CB42DE">
      <w:pPr>
        <w:spacing w:beforeLines="25" w:before="78" w:line="360" w:lineRule="auto"/>
        <w:jc w:val="right"/>
        <w:rPr>
          <w:rFonts w:ascii="Arial" w:hAnsi="Arial" w:cs="Arial"/>
          <w:sz w:val="24"/>
          <w:szCs w:val="24"/>
        </w:rPr>
      </w:pPr>
    </w:p>
    <w:sectPr w:rsidR="00CB42DE">
      <w:footerReference w:type="default" r:id="rId6"/>
      <w:pgSz w:w="11906" w:h="16838"/>
      <w:pgMar w:top="1440" w:right="1588" w:bottom="1440" w:left="1588" w:header="851" w:footer="102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AB429" w14:textId="77777777" w:rsidR="005131C8" w:rsidRDefault="005131C8">
      <w:r>
        <w:separator/>
      </w:r>
    </w:p>
  </w:endnote>
  <w:endnote w:type="continuationSeparator" w:id="0">
    <w:p w14:paraId="55459B42" w14:textId="77777777" w:rsidR="005131C8" w:rsidRDefault="0051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771A" w14:textId="63383571" w:rsidR="00CB42DE" w:rsidRDefault="0008421B">
    <w:pPr>
      <w:pStyle w:val="ab"/>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5131C8" w:rsidRPr="005131C8">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F27F" w14:textId="77777777" w:rsidR="005131C8" w:rsidRDefault="005131C8">
      <w:r>
        <w:separator/>
      </w:r>
    </w:p>
  </w:footnote>
  <w:footnote w:type="continuationSeparator" w:id="0">
    <w:p w14:paraId="46363B2A" w14:textId="77777777" w:rsidR="005131C8" w:rsidRDefault="00513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YTVkZjcxNjI0NDZlY2ZhZDlhZjgyNzYwMWE1NDQifQ=="/>
  </w:docVars>
  <w:rsids>
    <w:rsidRoot w:val="00600DCF"/>
    <w:rsid w:val="000023AA"/>
    <w:rsid w:val="000023C3"/>
    <w:rsid w:val="000025D6"/>
    <w:rsid w:val="0000588E"/>
    <w:rsid w:val="000167E7"/>
    <w:rsid w:val="000169CB"/>
    <w:rsid w:val="0003175C"/>
    <w:rsid w:val="00036DBA"/>
    <w:rsid w:val="00051D31"/>
    <w:rsid w:val="000633D8"/>
    <w:rsid w:val="00064C68"/>
    <w:rsid w:val="000662F3"/>
    <w:rsid w:val="00067951"/>
    <w:rsid w:val="00070BDE"/>
    <w:rsid w:val="0007286B"/>
    <w:rsid w:val="0007556A"/>
    <w:rsid w:val="0008421B"/>
    <w:rsid w:val="0009705E"/>
    <w:rsid w:val="000A1024"/>
    <w:rsid w:val="000A3FDD"/>
    <w:rsid w:val="000A74E3"/>
    <w:rsid w:val="000B779A"/>
    <w:rsid w:val="000C2A97"/>
    <w:rsid w:val="000C6360"/>
    <w:rsid w:val="000D35A4"/>
    <w:rsid w:val="000E2180"/>
    <w:rsid w:val="000E59E8"/>
    <w:rsid w:val="000E77A0"/>
    <w:rsid w:val="000F0CF0"/>
    <w:rsid w:val="000F318B"/>
    <w:rsid w:val="000F6E06"/>
    <w:rsid w:val="000F73D6"/>
    <w:rsid w:val="000F786B"/>
    <w:rsid w:val="00102A7B"/>
    <w:rsid w:val="00107E97"/>
    <w:rsid w:val="001313F4"/>
    <w:rsid w:val="00131918"/>
    <w:rsid w:val="00171818"/>
    <w:rsid w:val="001749D2"/>
    <w:rsid w:val="001A0868"/>
    <w:rsid w:val="001A09F9"/>
    <w:rsid w:val="001A1320"/>
    <w:rsid w:val="001A7973"/>
    <w:rsid w:val="001A7D2D"/>
    <w:rsid w:val="001B2698"/>
    <w:rsid w:val="001B7616"/>
    <w:rsid w:val="001C05AB"/>
    <w:rsid w:val="001C3B20"/>
    <w:rsid w:val="001C47C9"/>
    <w:rsid w:val="001C4B6E"/>
    <w:rsid w:val="001D2583"/>
    <w:rsid w:val="001D6B3E"/>
    <w:rsid w:val="001D7A24"/>
    <w:rsid w:val="001E07A8"/>
    <w:rsid w:val="001F0FFF"/>
    <w:rsid w:val="001F2066"/>
    <w:rsid w:val="00200769"/>
    <w:rsid w:val="0021009E"/>
    <w:rsid w:val="00215020"/>
    <w:rsid w:val="0022450C"/>
    <w:rsid w:val="00227F3C"/>
    <w:rsid w:val="00240D63"/>
    <w:rsid w:val="00241207"/>
    <w:rsid w:val="002609EB"/>
    <w:rsid w:val="00267C82"/>
    <w:rsid w:val="0027687F"/>
    <w:rsid w:val="002838A0"/>
    <w:rsid w:val="00290969"/>
    <w:rsid w:val="00292252"/>
    <w:rsid w:val="002A6FF1"/>
    <w:rsid w:val="002A7CCF"/>
    <w:rsid w:val="002A7E95"/>
    <w:rsid w:val="002D6EBE"/>
    <w:rsid w:val="002D7783"/>
    <w:rsid w:val="002E0000"/>
    <w:rsid w:val="002F54C5"/>
    <w:rsid w:val="00300894"/>
    <w:rsid w:val="00302481"/>
    <w:rsid w:val="00306515"/>
    <w:rsid w:val="00306DC6"/>
    <w:rsid w:val="0032039D"/>
    <w:rsid w:val="00327095"/>
    <w:rsid w:val="00331190"/>
    <w:rsid w:val="00331FE8"/>
    <w:rsid w:val="00333D27"/>
    <w:rsid w:val="00345C22"/>
    <w:rsid w:val="0034716E"/>
    <w:rsid w:val="00372085"/>
    <w:rsid w:val="0037614F"/>
    <w:rsid w:val="0038026E"/>
    <w:rsid w:val="00380734"/>
    <w:rsid w:val="00382E37"/>
    <w:rsid w:val="003876AF"/>
    <w:rsid w:val="0039166C"/>
    <w:rsid w:val="003932B2"/>
    <w:rsid w:val="00395943"/>
    <w:rsid w:val="003A13DB"/>
    <w:rsid w:val="003A5AE9"/>
    <w:rsid w:val="003C119C"/>
    <w:rsid w:val="003C7897"/>
    <w:rsid w:val="003D1DC5"/>
    <w:rsid w:val="003D31A9"/>
    <w:rsid w:val="003D62CD"/>
    <w:rsid w:val="003F22F6"/>
    <w:rsid w:val="003F3216"/>
    <w:rsid w:val="003F53E8"/>
    <w:rsid w:val="004006B7"/>
    <w:rsid w:val="0040702A"/>
    <w:rsid w:val="00410DED"/>
    <w:rsid w:val="0041300E"/>
    <w:rsid w:val="00435ACC"/>
    <w:rsid w:val="0043622A"/>
    <w:rsid w:val="004437B6"/>
    <w:rsid w:val="004450DD"/>
    <w:rsid w:val="00445661"/>
    <w:rsid w:val="00446868"/>
    <w:rsid w:val="004648E7"/>
    <w:rsid w:val="00472159"/>
    <w:rsid w:val="00491EE9"/>
    <w:rsid w:val="004A47DE"/>
    <w:rsid w:val="004A6001"/>
    <w:rsid w:val="004B2C8F"/>
    <w:rsid w:val="004B33A1"/>
    <w:rsid w:val="004B5AE4"/>
    <w:rsid w:val="004B66FB"/>
    <w:rsid w:val="004D00CF"/>
    <w:rsid w:val="004F04C3"/>
    <w:rsid w:val="004F19E5"/>
    <w:rsid w:val="00502B5F"/>
    <w:rsid w:val="00505769"/>
    <w:rsid w:val="005131C8"/>
    <w:rsid w:val="005141B9"/>
    <w:rsid w:val="0051633F"/>
    <w:rsid w:val="005236FB"/>
    <w:rsid w:val="00527C29"/>
    <w:rsid w:val="00530A76"/>
    <w:rsid w:val="0053112D"/>
    <w:rsid w:val="005313D2"/>
    <w:rsid w:val="005407AD"/>
    <w:rsid w:val="00543F6C"/>
    <w:rsid w:val="005625C5"/>
    <w:rsid w:val="005637EB"/>
    <w:rsid w:val="00595638"/>
    <w:rsid w:val="0059609A"/>
    <w:rsid w:val="005B0BF8"/>
    <w:rsid w:val="005B4740"/>
    <w:rsid w:val="005B4F53"/>
    <w:rsid w:val="005C2356"/>
    <w:rsid w:val="005C5810"/>
    <w:rsid w:val="005D0D46"/>
    <w:rsid w:val="005D4A75"/>
    <w:rsid w:val="005D758D"/>
    <w:rsid w:val="005E690E"/>
    <w:rsid w:val="005F1909"/>
    <w:rsid w:val="005F1DFF"/>
    <w:rsid w:val="005F431C"/>
    <w:rsid w:val="005F6CDD"/>
    <w:rsid w:val="006005C0"/>
    <w:rsid w:val="006008FF"/>
    <w:rsid w:val="00600DCF"/>
    <w:rsid w:val="00607202"/>
    <w:rsid w:val="006227F9"/>
    <w:rsid w:val="00631C7C"/>
    <w:rsid w:val="00642058"/>
    <w:rsid w:val="00646B6B"/>
    <w:rsid w:val="00647918"/>
    <w:rsid w:val="00650C71"/>
    <w:rsid w:val="00653995"/>
    <w:rsid w:val="00654278"/>
    <w:rsid w:val="00670CFA"/>
    <w:rsid w:val="00671453"/>
    <w:rsid w:val="00680F97"/>
    <w:rsid w:val="00690E28"/>
    <w:rsid w:val="006A2FED"/>
    <w:rsid w:val="006A7481"/>
    <w:rsid w:val="006A7EB8"/>
    <w:rsid w:val="006A7F61"/>
    <w:rsid w:val="006B3910"/>
    <w:rsid w:val="006B5C3C"/>
    <w:rsid w:val="006C1B82"/>
    <w:rsid w:val="006C43C8"/>
    <w:rsid w:val="006D4694"/>
    <w:rsid w:val="006D46DA"/>
    <w:rsid w:val="006D4F7D"/>
    <w:rsid w:val="006D59D9"/>
    <w:rsid w:val="006E754D"/>
    <w:rsid w:val="0070474E"/>
    <w:rsid w:val="00705C1B"/>
    <w:rsid w:val="0071405C"/>
    <w:rsid w:val="007142E1"/>
    <w:rsid w:val="0071531A"/>
    <w:rsid w:val="0071707C"/>
    <w:rsid w:val="00721EB0"/>
    <w:rsid w:val="00732258"/>
    <w:rsid w:val="00744B4D"/>
    <w:rsid w:val="00746CB2"/>
    <w:rsid w:val="007561CC"/>
    <w:rsid w:val="007701B3"/>
    <w:rsid w:val="0077534B"/>
    <w:rsid w:val="0078090B"/>
    <w:rsid w:val="00781D4C"/>
    <w:rsid w:val="00795C04"/>
    <w:rsid w:val="00796549"/>
    <w:rsid w:val="00797660"/>
    <w:rsid w:val="007A016B"/>
    <w:rsid w:val="007B3596"/>
    <w:rsid w:val="007B6B67"/>
    <w:rsid w:val="007C1E49"/>
    <w:rsid w:val="007D0336"/>
    <w:rsid w:val="007E1B5C"/>
    <w:rsid w:val="007E6D6E"/>
    <w:rsid w:val="007E77AC"/>
    <w:rsid w:val="007F3183"/>
    <w:rsid w:val="00804B51"/>
    <w:rsid w:val="00804DE1"/>
    <w:rsid w:val="00810972"/>
    <w:rsid w:val="0083172B"/>
    <w:rsid w:val="00852D31"/>
    <w:rsid w:val="00861C32"/>
    <w:rsid w:val="00880C88"/>
    <w:rsid w:val="00886792"/>
    <w:rsid w:val="00897921"/>
    <w:rsid w:val="008A5932"/>
    <w:rsid w:val="008B0624"/>
    <w:rsid w:val="008B7004"/>
    <w:rsid w:val="008B7577"/>
    <w:rsid w:val="008C5CD6"/>
    <w:rsid w:val="008D5D9F"/>
    <w:rsid w:val="008D5E5F"/>
    <w:rsid w:val="008E59C5"/>
    <w:rsid w:val="008F256D"/>
    <w:rsid w:val="008F4459"/>
    <w:rsid w:val="009024EA"/>
    <w:rsid w:val="009030FC"/>
    <w:rsid w:val="0090647D"/>
    <w:rsid w:val="00921A35"/>
    <w:rsid w:val="00936EBB"/>
    <w:rsid w:val="00945AD7"/>
    <w:rsid w:val="009469F6"/>
    <w:rsid w:val="00952D2F"/>
    <w:rsid w:val="00957F8A"/>
    <w:rsid w:val="009609D0"/>
    <w:rsid w:val="00961457"/>
    <w:rsid w:val="009642B2"/>
    <w:rsid w:val="00965E2E"/>
    <w:rsid w:val="0096639E"/>
    <w:rsid w:val="00966F4B"/>
    <w:rsid w:val="00970344"/>
    <w:rsid w:val="00976A8B"/>
    <w:rsid w:val="009957DA"/>
    <w:rsid w:val="009A178F"/>
    <w:rsid w:val="009A19B4"/>
    <w:rsid w:val="009A2A06"/>
    <w:rsid w:val="009A6E7A"/>
    <w:rsid w:val="009B480D"/>
    <w:rsid w:val="009B6BB3"/>
    <w:rsid w:val="009C0125"/>
    <w:rsid w:val="009D4EF7"/>
    <w:rsid w:val="009E7AAF"/>
    <w:rsid w:val="009F55B4"/>
    <w:rsid w:val="009F61E3"/>
    <w:rsid w:val="009F781E"/>
    <w:rsid w:val="00A00CD3"/>
    <w:rsid w:val="00A01052"/>
    <w:rsid w:val="00A05357"/>
    <w:rsid w:val="00A15785"/>
    <w:rsid w:val="00A27935"/>
    <w:rsid w:val="00A320C7"/>
    <w:rsid w:val="00A36EE6"/>
    <w:rsid w:val="00A417A8"/>
    <w:rsid w:val="00A438E5"/>
    <w:rsid w:val="00A52A52"/>
    <w:rsid w:val="00A56F27"/>
    <w:rsid w:val="00A714AC"/>
    <w:rsid w:val="00A9128C"/>
    <w:rsid w:val="00A93AE0"/>
    <w:rsid w:val="00A9707F"/>
    <w:rsid w:val="00AA1D26"/>
    <w:rsid w:val="00AA2E04"/>
    <w:rsid w:val="00AC0322"/>
    <w:rsid w:val="00AC7157"/>
    <w:rsid w:val="00AD0C61"/>
    <w:rsid w:val="00AE0596"/>
    <w:rsid w:val="00AF24CF"/>
    <w:rsid w:val="00AF527D"/>
    <w:rsid w:val="00B17180"/>
    <w:rsid w:val="00B20EC3"/>
    <w:rsid w:val="00B47AB1"/>
    <w:rsid w:val="00B76AEC"/>
    <w:rsid w:val="00B812A2"/>
    <w:rsid w:val="00B87150"/>
    <w:rsid w:val="00B93DD3"/>
    <w:rsid w:val="00B96AD2"/>
    <w:rsid w:val="00BA3A16"/>
    <w:rsid w:val="00BA3A48"/>
    <w:rsid w:val="00BA66F3"/>
    <w:rsid w:val="00BB21D2"/>
    <w:rsid w:val="00BB3BA9"/>
    <w:rsid w:val="00BC139D"/>
    <w:rsid w:val="00BD3E7D"/>
    <w:rsid w:val="00BD7A99"/>
    <w:rsid w:val="00BE3DCB"/>
    <w:rsid w:val="00BF3F4E"/>
    <w:rsid w:val="00BF59DF"/>
    <w:rsid w:val="00BF5C8C"/>
    <w:rsid w:val="00C04841"/>
    <w:rsid w:val="00C32FE3"/>
    <w:rsid w:val="00C3503D"/>
    <w:rsid w:val="00C351CF"/>
    <w:rsid w:val="00C663F0"/>
    <w:rsid w:val="00C8303D"/>
    <w:rsid w:val="00C85BCD"/>
    <w:rsid w:val="00CA1304"/>
    <w:rsid w:val="00CA61D6"/>
    <w:rsid w:val="00CB42DE"/>
    <w:rsid w:val="00CC3493"/>
    <w:rsid w:val="00CC596E"/>
    <w:rsid w:val="00CC600A"/>
    <w:rsid w:val="00CC68F0"/>
    <w:rsid w:val="00CC6CA0"/>
    <w:rsid w:val="00CD1954"/>
    <w:rsid w:val="00CE1784"/>
    <w:rsid w:val="00CE420F"/>
    <w:rsid w:val="00CE5426"/>
    <w:rsid w:val="00CF1844"/>
    <w:rsid w:val="00CF3B17"/>
    <w:rsid w:val="00CF56A0"/>
    <w:rsid w:val="00D02B71"/>
    <w:rsid w:val="00D06931"/>
    <w:rsid w:val="00D14490"/>
    <w:rsid w:val="00D27374"/>
    <w:rsid w:val="00D532C0"/>
    <w:rsid w:val="00D62DE2"/>
    <w:rsid w:val="00D759D9"/>
    <w:rsid w:val="00D944A6"/>
    <w:rsid w:val="00DA1570"/>
    <w:rsid w:val="00DA3BAF"/>
    <w:rsid w:val="00DC1260"/>
    <w:rsid w:val="00DC420D"/>
    <w:rsid w:val="00DD5136"/>
    <w:rsid w:val="00DE0351"/>
    <w:rsid w:val="00DE0549"/>
    <w:rsid w:val="00E05138"/>
    <w:rsid w:val="00E120BF"/>
    <w:rsid w:val="00E153FD"/>
    <w:rsid w:val="00E37E7D"/>
    <w:rsid w:val="00E566BE"/>
    <w:rsid w:val="00E60677"/>
    <w:rsid w:val="00E6391E"/>
    <w:rsid w:val="00E80121"/>
    <w:rsid w:val="00E8454A"/>
    <w:rsid w:val="00EA6A7E"/>
    <w:rsid w:val="00EA7E85"/>
    <w:rsid w:val="00EB0895"/>
    <w:rsid w:val="00EB0A24"/>
    <w:rsid w:val="00EC65B0"/>
    <w:rsid w:val="00ED37B7"/>
    <w:rsid w:val="00ED4ED7"/>
    <w:rsid w:val="00EE55C7"/>
    <w:rsid w:val="00F031D1"/>
    <w:rsid w:val="00F11416"/>
    <w:rsid w:val="00F116EF"/>
    <w:rsid w:val="00F214B9"/>
    <w:rsid w:val="00F30EB5"/>
    <w:rsid w:val="00F31935"/>
    <w:rsid w:val="00F62083"/>
    <w:rsid w:val="00F62311"/>
    <w:rsid w:val="00F66FAB"/>
    <w:rsid w:val="00F70754"/>
    <w:rsid w:val="00F81B93"/>
    <w:rsid w:val="00F93D83"/>
    <w:rsid w:val="00FA2EE3"/>
    <w:rsid w:val="00FA6765"/>
    <w:rsid w:val="00FB1409"/>
    <w:rsid w:val="00FB297A"/>
    <w:rsid w:val="00FD0214"/>
    <w:rsid w:val="00FD2536"/>
    <w:rsid w:val="01326108"/>
    <w:rsid w:val="29662D23"/>
    <w:rsid w:val="30046E8B"/>
    <w:rsid w:val="48806E8A"/>
    <w:rsid w:val="7C80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73A89"/>
  <w15:docId w15:val="{A86CA00D-C672-43F7-A801-A82EE37E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Body Text"/>
    <w:basedOn w:val="a"/>
    <w:link w:val="a6"/>
    <w:qFormat/>
    <w:pPr>
      <w:widowControl/>
      <w:overflowPunct w:val="0"/>
      <w:autoSpaceDE w:val="0"/>
      <w:autoSpaceDN w:val="0"/>
      <w:adjustRightInd w:val="0"/>
      <w:spacing w:line="360" w:lineRule="auto"/>
      <w:textAlignment w:val="baseline"/>
    </w:pPr>
    <w:rPr>
      <w:rFonts w:ascii="宋体"/>
      <w:kern w:val="0"/>
      <w:sz w:val="24"/>
      <w:szCs w:val="20"/>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uiPriority w:val="99"/>
    <w:semiHidden/>
    <w:qFormat/>
    <w:rPr>
      <w:rFonts w:ascii="宋体"/>
      <w:kern w:val="2"/>
      <w:sz w:val="18"/>
      <w:szCs w:val="18"/>
    </w:rPr>
  </w:style>
  <w:style w:type="character" w:customStyle="1" w:styleId="a6">
    <w:name w:val="正文文本 字符"/>
    <w:link w:val="a5"/>
    <w:qFormat/>
    <w:rPr>
      <w:rFonts w:ascii="宋体" w:hAnsi="Times New Roman"/>
      <w:sz w:val="24"/>
    </w:rPr>
  </w:style>
  <w:style w:type="character" w:customStyle="1" w:styleId="aa">
    <w:name w:val="批注框文本 字符"/>
    <w:link w:val="a9"/>
    <w:uiPriority w:val="99"/>
    <w:semiHidden/>
    <w:qFormat/>
    <w:rPr>
      <w:kern w:val="2"/>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0">
    <w:name w:val="List Paragraph"/>
    <w:basedOn w:val="a"/>
    <w:uiPriority w:val="34"/>
    <w:qFormat/>
    <w:pPr>
      <w:ind w:firstLineChars="200" w:firstLine="420"/>
    </w:pPr>
  </w:style>
  <w:style w:type="character" w:customStyle="1" w:styleId="highlight">
    <w:name w:val="highlight"/>
    <w:basedOn w:val="a0"/>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rPr>
  </w:style>
  <w:style w:type="character" w:customStyle="1" w:styleId="a8">
    <w:name w:val="日期 字符"/>
    <w:basedOn w:val="a0"/>
    <w:link w:val="a7"/>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492</Words>
  <Characters>2811</Characters>
  <Application>Microsoft Office Word</Application>
  <DocSecurity>0</DocSecurity>
  <Lines>23</Lines>
  <Paragraphs>6</Paragraphs>
  <ScaleCrop>false</ScaleCrop>
  <Company>Lenovo</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71</cp:revision>
  <cp:lastPrinted>2025-09-04T08:32:00Z</cp:lastPrinted>
  <dcterms:created xsi:type="dcterms:W3CDTF">2024-06-11T08:23:00Z</dcterms:created>
  <dcterms:modified xsi:type="dcterms:W3CDTF">2025-09-04T09:37:00Z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F12BD6F6B67748B48DAE4BAAF88053A2_12</vt:lpwstr>
  </property>
  <property fmtid="{D5CDD505-2E9C-101B-9397-08002B2CF9AE}" pid="4" name="KSOTemplateDocerSaveRecord">
    <vt:lpwstr>eyJoZGlkIjoiZmY1YTVkZjcxNjI0NDZlY2ZhZDlhZjgyNzYwMWE1NDQiLCJ1c2VySWQiOiI2MDY0Mzg0MDIifQ==</vt:lpwstr>
  </property>
</Properties>
</file>